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81" w:rsidRPr="00FB13F4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FB13F4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31391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404-02-05/2018-03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1F00D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0D0FF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12.0</w:t>
                  </w:r>
                  <w:r w:rsidR="001F00D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2</w:t>
                  </w:r>
                  <w:bookmarkStart w:id="0" w:name="_GoBack"/>
                  <w:bookmarkEnd w:id="0"/>
                  <w:r w:rsidR="000D0FF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FB13F4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FB13F4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FB13F4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FB13F4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7508" w:rsidRPr="00FB13F4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13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FB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FB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 </w:t>
      </w:r>
      <w:r w:rsidR="00A24B94" w:rsidRPr="00FB13F4">
        <w:rPr>
          <w:rFonts w:ascii="Times New Roman" w:hAnsi="Times New Roman" w:cs="Times New Roman"/>
          <w:sz w:val="24"/>
          <w:szCs w:val="24"/>
          <w:lang w:val="sr-Cyrl-RS"/>
        </w:rPr>
        <w:t>на изградњи леве траке Аутопута Е75, деоница гранични прелаз "Келебија" - пет</w:t>
      </w:r>
      <w:r w:rsidR="00A24B94" w:rsidRPr="00FB13F4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24B94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а "Суботица Југ", 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од кружне раскрснице са Биковачким путем до кружне раскрснице на Бачко - Тополском путу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2/</w:t>
      </w:r>
      <w:r w:rsidR="00A24B94" w:rsidRPr="00FB13F4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FB13F4">
        <w:rPr>
          <w:rFonts w:ascii="Times New Roman" w:hAnsi="Times New Roman" w:cs="Times New Roman"/>
          <w:bCs/>
          <w:sz w:val="24"/>
          <w:szCs w:val="24"/>
        </w:rPr>
        <w:t>8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C7508" w:rsidRPr="00FB13F4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назив и </w:t>
      </w:r>
      <w:proofErr w:type="spellStart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oзнака</w:t>
      </w:r>
      <w:proofErr w:type="spellEnd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општег</w:t>
      </w:r>
      <w:proofErr w:type="spellEnd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речника</w:t>
      </w:r>
      <w:proofErr w:type="spellEnd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набавке</w:t>
      </w:r>
      <w:proofErr w:type="spellEnd"/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4496" w:rsidRPr="00FB13F4">
        <w:rPr>
          <w:rFonts w:ascii="Times New Roman" w:hAnsi="Times New Roman" w:cs="Times New Roman"/>
          <w:sz w:val="24"/>
          <w:szCs w:val="24"/>
          <w:lang w:val="sr-Cyrl-CS"/>
        </w:rPr>
        <w:t>45233130-9 Радови на изградњи аутопутева</w:t>
      </w:r>
      <w:r w:rsidR="001C7508" w:rsidRPr="00FB13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FB13F4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4181" w:rsidRPr="00FB13F4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FB13F4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974496" w:rsidRPr="00FB13F4" w:rsidRDefault="00974496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</w:rPr>
      </w:pP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У конкурсној документацији, поглавље </w:t>
      </w:r>
      <w:r w:rsidRPr="00FB13F4">
        <w:rPr>
          <w:rFonts w:ascii="Times New Roman" w:hAnsi="Times New Roman" w:cs="Times New Roman"/>
          <w:sz w:val="24"/>
          <w:szCs w:val="24"/>
        </w:rPr>
        <w:t xml:space="preserve">IV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>Обавезни услови, на странама 10/586 и 11/586 стоји: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78"/>
        <w:gridCol w:w="4680"/>
      </w:tblGrid>
      <w:tr w:rsidR="001B0D42" w:rsidRPr="00FB13F4" w:rsidTr="00FB13F4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важећу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обављање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(</w:t>
            </w:r>
            <w:r w:rsidRPr="00FB1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члан 75. став 1.  тач. 5) ЗЈН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),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то:</w:t>
            </w:r>
          </w:p>
          <w:p w:rsidR="00974496" w:rsidRPr="00FB13F4" w:rsidRDefault="00974496" w:rsidP="00F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 -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 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испуњава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добијање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саобраћајницама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(И131Г2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конструкција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мостове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(И132Г1)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lastRenderedPageBreak/>
              <w:t> 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Доказ: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974496" w:rsidRPr="00FB13F4" w:rsidRDefault="00974496" w:rsidP="00FB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испуњава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добијање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саобраћајницама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(И131Г2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конструкција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мостове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објекте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прикључке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граничне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(И132Г1)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,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</w:t>
            </w:r>
            <w:proofErr w:type="spellEnd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неоверене</w:t>
            </w:r>
            <w:proofErr w:type="spellEnd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копије</w:t>
            </w:r>
            <w:proofErr w:type="spellEnd"/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</w:tbl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 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На страни 16/586 стоји:</w:t>
      </w:r>
    </w:p>
    <w:p w:rsidR="00974496" w:rsidRPr="00FB13F4" w:rsidRDefault="00974496" w:rsidP="00D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 „</w:t>
      </w:r>
      <w:r w:rsidRPr="00FB1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Услов из члана 75. став 1. тачка 5) 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ЗЈН </w:t>
      </w:r>
      <w:r w:rsidRPr="00FB13F4">
        <w:rPr>
          <w:rFonts w:ascii="Times New Roman" w:hAnsi="Times New Roman" w:cs="Times New Roman"/>
          <w:bCs/>
          <w:sz w:val="24"/>
          <w:szCs w:val="24"/>
          <w:lang w:val="sr-Cyrl-RS"/>
        </w:rPr>
        <w:t>дужан је да испуни понуђач из групе понуђача којем је поверено извршење дела набавке за који је неопходна испуњеност тог услова</w:t>
      </w:r>
      <w:r w:rsidRPr="00FB1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.“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На страни 167/586 и 168/586 стоји:</w:t>
      </w:r>
    </w:p>
    <w:p w:rsidR="00974496" w:rsidRPr="00FB13F4" w:rsidRDefault="00974496" w:rsidP="00D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достављања понуде, б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анкарска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гаранција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за озбиљност понуде,</w:t>
      </w:r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писмо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намерама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издавање банкарске гаранције за добро извршење посла</w:t>
      </w:r>
      <w:r w:rsidRPr="00FB1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писмо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намерама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издавање банкарске гаранције за повраћај авансног плаћања и писмо о намерама банке за издавање банкарске гаранције за отклањање недостатака у гарантном року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морају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гласити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овлашћеног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понуду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заједнички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подноси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група</w:t>
      </w:r>
      <w:proofErr w:type="spellEnd"/>
      <w:r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bCs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</w:p>
    <w:p w:rsidR="00974496" w:rsidRPr="00FB13F4" w:rsidRDefault="00974496" w:rsidP="004D4154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1.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</w:p>
    <w:p w:rsidR="00974496" w:rsidRPr="00FB13F4" w:rsidRDefault="00974496" w:rsidP="00D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Молимо Вас да нам одговорите да ли овлашћени члан групе понуђача, уколико понуду заједнички подноси група понуђача, мора да поседује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FB13F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саобраћајницама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Pr="00FB13F4">
        <w:rPr>
          <w:rFonts w:ascii="Times New Roman" w:hAnsi="Times New Roman" w:cs="Times New Roman"/>
          <w:b/>
          <w:bCs/>
          <w:sz w:val="24"/>
          <w:szCs w:val="24"/>
        </w:rPr>
        <w:t>(И131Г2</w:t>
      </w:r>
      <w:r w:rsidRPr="00FB13F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конструкција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мостове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Pr="00FB13F4">
        <w:rPr>
          <w:rFonts w:ascii="Times New Roman" w:hAnsi="Times New Roman" w:cs="Times New Roman"/>
          <w:b/>
          <w:bCs/>
          <w:sz w:val="24"/>
          <w:szCs w:val="24"/>
        </w:rPr>
        <w:t xml:space="preserve">(И132Г1)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>уколико му није поверено извршење дела набавке за који је неопходна испуњеност тог услова?</w:t>
      </w:r>
    </w:p>
    <w:p w:rsidR="00D6587A" w:rsidRPr="00FB13F4" w:rsidRDefault="00974496" w:rsidP="001B0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 </w:t>
      </w:r>
      <w:r w:rsidR="00D6587A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1:</w:t>
      </w:r>
    </w:p>
    <w:p w:rsidR="00D6587A" w:rsidRPr="00FB13F4" w:rsidRDefault="00D6587A" w:rsidP="001B0D42">
      <w:pPr>
        <w:pStyle w:val="NormalWeb"/>
        <w:spacing w:before="0" w:beforeAutospacing="0" w:after="0" w:afterAutospacing="0"/>
        <w:jc w:val="both"/>
        <w:rPr>
          <w:color w:val="auto"/>
          <w:lang w:val="sr-Cyrl-CS"/>
        </w:rPr>
      </w:pPr>
    </w:p>
    <w:p w:rsidR="00D6587A" w:rsidRPr="00FB13F4" w:rsidRDefault="00D6587A" w:rsidP="001B0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набавку бр. 2/2018,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део </w:t>
      </w:r>
      <w:r w:rsidRPr="00FB1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VIII </w:t>
      </w:r>
      <w:r w:rsidR="001B0D42" w:rsidRPr="00FB13F4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- </w:t>
      </w:r>
      <w:r w:rsidRPr="00FB13F4">
        <w:rPr>
          <w:rFonts w:ascii="Times New Roman" w:hAnsi="Times New Roman" w:cs="Times New Roman"/>
          <w:bCs/>
          <w:i/>
          <w:iCs/>
          <w:sz w:val="24"/>
          <w:szCs w:val="24"/>
        </w:rPr>
        <w:t>УПУТСТВО ПОНУЂАЧИМА КАКО ДА САЧИНЕ ПОНУДУ</w:t>
      </w:r>
      <w:r w:rsidR="001B0D42" w:rsidRPr="00FB13F4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, 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тачка </w:t>
      </w:r>
      <w:r w:rsidRPr="00FB13F4">
        <w:rPr>
          <w:rFonts w:ascii="Times New Roman" w:hAnsi="Times New Roman" w:cs="Times New Roman"/>
          <w:i/>
          <w:sz w:val="24"/>
          <w:szCs w:val="24"/>
        </w:rPr>
        <w:t>8. ЗАЈЕДНИЧКА ПОНУДА</w:t>
      </w:r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>, на страни 164/586, у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87A" w:rsidRPr="00FB13F4" w:rsidRDefault="00D6587A" w:rsidP="001B0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СПОРАЗУМ</w:t>
      </w:r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13F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13F4">
        <w:rPr>
          <w:rFonts w:ascii="Times New Roman" w:hAnsi="Times New Roman" w:cs="Times New Roman"/>
          <w:sz w:val="24"/>
          <w:szCs w:val="24"/>
        </w:rPr>
        <w:t xml:space="preserve"> 1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B13F4">
        <w:rPr>
          <w:rFonts w:ascii="Times New Roman" w:hAnsi="Times New Roman" w:cs="Times New Roman"/>
          <w:sz w:val="24"/>
          <w:szCs w:val="24"/>
        </w:rPr>
        <w:t>и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3F4">
        <w:rPr>
          <w:rFonts w:ascii="Times New Roman" w:hAnsi="Times New Roman" w:cs="Times New Roman"/>
          <w:sz w:val="24"/>
          <w:szCs w:val="24"/>
        </w:rPr>
        <w:t>2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B13F4">
        <w:rPr>
          <w:rFonts w:ascii="Times New Roman" w:hAnsi="Times New Roman" w:cs="Times New Roman"/>
          <w:sz w:val="24"/>
          <w:szCs w:val="24"/>
        </w:rPr>
        <w:t xml:space="preserve"> ЗЈН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о: </w:t>
      </w:r>
    </w:p>
    <w:p w:rsidR="00D6587A" w:rsidRPr="00FB13F4" w:rsidRDefault="00D6587A" w:rsidP="001B0D42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, 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>и који ће издати средства обезбеђења предвиђена овом конкурсном документацијом;</w:t>
      </w:r>
    </w:p>
    <w:p w:rsidR="00D6587A" w:rsidRPr="00FB13F4" w:rsidRDefault="00D6587A" w:rsidP="001B0D42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у име групе понуђача потписати уговор о јавној набавци;</w:t>
      </w:r>
    </w:p>
    <w:p w:rsidR="00D6587A" w:rsidRPr="00FB13F4" w:rsidRDefault="00D6587A" w:rsidP="001B0D42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6587A" w:rsidRPr="00FB13F4" w:rsidRDefault="00D6587A" w:rsidP="001B0D4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>.</w:t>
      </w:r>
    </w:p>
    <w:p w:rsidR="00D6587A" w:rsidRPr="00FB13F4" w:rsidRDefault="00D6587A" w:rsidP="001B0D42">
      <w:pPr>
        <w:ind w:left="720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D6587A" w:rsidRPr="00FB13F4" w:rsidRDefault="00D6587A" w:rsidP="001B0D42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дужна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достави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све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доказе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испуњености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који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су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наведени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r w:rsidRPr="00FB13F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поглављу</w:t>
      </w:r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IV</w:t>
      </w:r>
      <w:r w:rsidRPr="00FB13F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конкурсне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документације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, у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складу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B13F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путством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како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доказује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испуњеност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FB13F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D6587A" w:rsidRPr="00FB13F4" w:rsidRDefault="00D6587A" w:rsidP="001B0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5DB" w:rsidRPr="00FB13F4" w:rsidRDefault="00974496" w:rsidP="001B0D4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="001B0D42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Из наведеног произилази да Понуда мора садржати доказ о испуњености захтеваног </w:t>
      </w:r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5)</w:t>
      </w:r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ЗЈН -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1B0D42" w:rsidRPr="00FB13F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B0D42" w:rsidRPr="00FB13F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саобраћајницама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1B0D42" w:rsidRPr="00FB13F4">
        <w:rPr>
          <w:rFonts w:ascii="Times New Roman" w:hAnsi="Times New Roman" w:cs="Times New Roman"/>
          <w:b/>
          <w:bCs/>
          <w:sz w:val="24"/>
          <w:szCs w:val="24"/>
        </w:rPr>
        <w:t>(И131Г2</w:t>
      </w:r>
      <w:r w:rsidR="001B0D42" w:rsidRPr="00FB13F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конструкција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мостове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прикључке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="001B0D42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1B0D42" w:rsidRPr="00FB13F4">
        <w:rPr>
          <w:rFonts w:ascii="Times New Roman" w:hAnsi="Times New Roman" w:cs="Times New Roman"/>
          <w:b/>
          <w:bCs/>
          <w:sz w:val="24"/>
          <w:szCs w:val="24"/>
        </w:rPr>
        <w:t>(И132Г1)</w:t>
      </w:r>
      <w:r w:rsidR="001B0D42" w:rsidRPr="00FB13F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, </w:t>
      </w:r>
      <w:r w:rsidR="001B0D42" w:rsidRPr="00FB13F4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1B0D42" w:rsidRPr="00FB13F4">
        <w:rPr>
          <w:rFonts w:ascii="Times New Roman" w:hAnsi="Times New Roman" w:cs="Times New Roman"/>
          <w:bCs/>
          <w:sz w:val="24"/>
          <w:szCs w:val="24"/>
        </w:rPr>
        <w:t>виду</w:t>
      </w:r>
      <w:proofErr w:type="spellEnd"/>
      <w:r w:rsidR="001B0D42"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bCs/>
          <w:sz w:val="24"/>
          <w:szCs w:val="24"/>
        </w:rPr>
        <w:t>неоверене</w:t>
      </w:r>
      <w:proofErr w:type="spellEnd"/>
      <w:r w:rsidR="001B0D42" w:rsidRPr="00FB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D42" w:rsidRPr="00FB13F4">
        <w:rPr>
          <w:rFonts w:ascii="Times New Roman" w:hAnsi="Times New Roman" w:cs="Times New Roman"/>
          <w:bCs/>
          <w:sz w:val="24"/>
          <w:szCs w:val="24"/>
        </w:rPr>
        <w:t>копије</w:t>
      </w:r>
      <w:proofErr w:type="spellEnd"/>
      <w:r w:rsidR="001B0D42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974496" w:rsidRPr="00FB13F4" w:rsidRDefault="001B0D42" w:rsidP="001B0D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Како је тај услов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>, није неопходно да захтевано Решење буде из</w:t>
      </w:r>
      <w:r w:rsidR="0000536E" w:rsidRPr="00FB13F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ато овлашћеном члану групе понуђача,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>уколико му, сходно одредбама Споразума групе понуђача, није поверено извршење дела набавке за који је неопходна испуњеност тог услова.</w:t>
      </w:r>
    </w:p>
    <w:p w:rsidR="00A47636" w:rsidRPr="00FB13F4" w:rsidRDefault="00A47636" w:rsidP="00A47636">
      <w:pPr>
        <w:spacing w:after="0" w:line="240" w:lineRule="auto"/>
        <w:jc w:val="both"/>
        <w:rPr>
          <w:color w:val="1F497D"/>
          <w:sz w:val="24"/>
          <w:szCs w:val="24"/>
          <w:lang w:val="sr-Cyrl-RS"/>
        </w:rPr>
      </w:pPr>
    </w:p>
    <w:p w:rsidR="00A47636" w:rsidRPr="00FB13F4" w:rsidRDefault="00A47636" w:rsidP="00A47636">
      <w:pPr>
        <w:spacing w:after="0" w:line="240" w:lineRule="auto"/>
        <w:jc w:val="both"/>
        <w:rPr>
          <w:color w:val="1F497D"/>
          <w:sz w:val="24"/>
          <w:szCs w:val="24"/>
          <w:lang w:val="sr-Cyrl-RS"/>
        </w:rPr>
      </w:pPr>
    </w:p>
    <w:p w:rsidR="00A47636" w:rsidRPr="00FB13F4" w:rsidRDefault="00974496" w:rsidP="00A47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B13F4">
        <w:rPr>
          <w:color w:val="1F497D"/>
          <w:sz w:val="24"/>
          <w:szCs w:val="24"/>
          <w:lang w:val="sr-Cyrl-RS"/>
        </w:rPr>
        <w:lastRenderedPageBreak/>
        <w:t> </w:t>
      </w:r>
      <w:r w:rsidR="00A47636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</w:t>
      </w:r>
      <w:r w:rsidR="006A1CAD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</w:t>
      </w:r>
      <w:r w:rsidR="00A47636" w:rsidRPr="00FB13F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="00A47636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="006A1CAD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., 3., 4. и 5</w:t>
      </w:r>
      <w:r w:rsidR="00A47636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У конкурсној документацији на страни 12/586 стоји: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3950"/>
      </w:tblGrid>
      <w:tr w:rsidR="00974496" w:rsidRPr="00FB13F4" w:rsidTr="007925CA">
        <w:trPr>
          <w:trHeight w:val="180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ПОСЛОВНИ КАПАЦИТЕТ</w:t>
            </w:r>
          </w:p>
          <w:p w:rsidR="00974496" w:rsidRPr="00FB13F4" w:rsidRDefault="00974496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color w:val="1F497D"/>
                <w:sz w:val="24"/>
                <w:szCs w:val="24"/>
                <w:lang w:val="sr-Cyrl-CS"/>
              </w:rPr>
              <w:t> 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Докази: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  <w:p w:rsidR="00974496" w:rsidRPr="00FB13F4" w:rsidRDefault="00974496" w:rsidP="00EA67C2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Референц листа (списак) са унетим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Унети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доказима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што су: п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отврдe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наручи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/инвеститора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закљученог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списак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оверен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 окончаним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ситуациј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 (доставити Образац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Списак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реализованих уговора и 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бразац 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Потврде о реализацији закључених уговора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дати су у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поглављу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 конкурсне документације, односно списак и потврду (е) о реализацији закључених уговора кој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садрже све податке наведене у Обрасцу 8 и Обрасцу 9 из поглавља </w:t>
            </w:r>
            <w:r w:rsidRPr="00FB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ове конкурсне документације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496" w:rsidRPr="00FB13F4" w:rsidTr="007925CA">
        <w:trPr>
          <w:trHeight w:val="180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као главни извођач или понуђач у оквиру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учествовао у реализацији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реконструкцији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државних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путева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могу бити државни путеви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I и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последњ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 5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рачунајући од дана објављивања позива подношења понуда (у обзир долазе уговори који су реализовани)</w:t>
            </w:r>
          </w:p>
          <w:p w:rsidR="00974496" w:rsidRPr="00FB13F4" w:rsidRDefault="009744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 којих је бар један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вредности од најмање 80.000.000,00 динара без ПДВ-а,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као и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као главни извођач или понуђач у оквиру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учествовао у реализацији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уговора чији предмет се односи на изградњу или реконструкцију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армирано-бетонских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мостова на државним путевима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I и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(учествовање у реализацији изградње/реконструкције најмање два моста), и то 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последњ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 5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</w:t>
            </w:r>
            <w:r w:rsidRPr="00FB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13F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рачунајући од дана објављивања позива подношења понуда (у обзир долазе уговори/пројекти који су реализовани).</w:t>
            </w:r>
          </w:p>
          <w:p w:rsidR="00974496" w:rsidRPr="00FB13F4" w:rsidRDefault="00974496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*** Напомена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узимаће се у обзир искључиво учешће у реализацији уговора који се односе на </w:t>
            </w:r>
            <w:r w:rsidRPr="00FB1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изградњу и реконструкцију</w:t>
            </w:r>
            <w:r w:rsidRPr="00FB13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96" w:rsidRPr="00FB13F4" w:rsidRDefault="0097449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974496" w:rsidRPr="00FB13F4" w:rsidRDefault="00974496" w:rsidP="00974496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FB13F4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> 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EA67C2"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бр. 2: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С обзиром да су главни извођачи на изградњи државних путева стране компаније које су по закључењу Главног уговора склапале подизвођачке уговоре са домаћим компанијама, да ли ће се такви подизвођачки уговори и радови сматрати референтним?</w:t>
      </w:r>
    </w:p>
    <w:p w:rsidR="00EA67C2" w:rsidRPr="00FB13F4" w:rsidRDefault="00EA67C2" w:rsidP="0097449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2:</w:t>
      </w:r>
    </w:p>
    <w:p w:rsidR="00EA67C2" w:rsidRPr="00FB13F4" w:rsidRDefault="00EA67C2" w:rsidP="002629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Конкурсном документацијом јасно је дефинисано да се, ради доказивања испуњености услова у погледу пословног капацитета, од понуђача тражи да докаже да је 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као главни извођач или понуђач у оквиру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3F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учествовао у реализацији пројеката захтеваних карактеристика.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>Подизвођачки уговори и радови</w:t>
      </w:r>
      <w:r w:rsidR="0026299A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>неће се сматрати референтним</w:t>
      </w:r>
      <w:r w:rsidR="00270416" w:rsidRPr="00FB13F4">
        <w:rPr>
          <w:rFonts w:ascii="Times New Roman" w:hAnsi="Times New Roman" w:cs="Times New Roman"/>
          <w:sz w:val="24"/>
          <w:szCs w:val="24"/>
          <w:lang w:val="sr-Cyrl-RS"/>
        </w:rPr>
        <w:t>, односно - испуњеност захтеваног услова у погледу пословног капацитета не може се доказивати подизвођачким уговорима.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3.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="00F44586"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Питање бр. 3: 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Зашто је неопходно да понуђач има најмање 5 (пет) референтних уговора?</w:t>
      </w:r>
    </w:p>
    <w:p w:rsidR="00974496" w:rsidRPr="00FB13F4" w:rsidRDefault="00F44586" w:rsidP="0097449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Одговор на питање број </w:t>
      </w:r>
      <w:r w:rsidR="00EF3358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44586" w:rsidRPr="00FB13F4" w:rsidRDefault="00817659" w:rsidP="005A44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начела јавних набавки, а посебно начело ефикасности и економичности, прописано чланом 9. Закона о јавним набавкама, којим је предвиђено да је </w:t>
      </w:r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аручилац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дужан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прибави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радове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одговарајућег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квалитета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имајући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виду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сврху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намену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вредност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spellEnd"/>
      <w:r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услови за учешће у поступку јавне набавке бр. 2/2018 дефинисани су тако да обезбеђују </w:t>
      </w:r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учешће понуђача са референтним искуством на пословима који одговарају предмет</w:t>
      </w:r>
      <w:r w:rsidR="00B30D04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</w:t>
      </w:r>
      <w:r w:rsidR="005A4466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набавке.</w:t>
      </w:r>
      <w:r w:rsidR="0076125A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9D4B9E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Узимајући у обзир т</w:t>
      </w:r>
      <w:r w:rsidR="00AE7970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ржишне околности, значај предмета набавке и реалне потребе наручиоца за обезбеђењем одговарајућег степена квалитета реализациј</w:t>
      </w:r>
      <w:r w:rsidR="00EF3358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AE7970" w:rsidRPr="00FB13F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предметне набавке, додатни услови у погледу пословног капацитета понуђача дефинисани су на начин како је то одређено у конкурсној документацији.</w:t>
      </w:r>
    </w:p>
    <w:p w:rsidR="00974496" w:rsidRPr="00FB13F4" w:rsidRDefault="00974496" w:rsidP="00974496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4.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EF3358"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бр. 4:</w:t>
      </w:r>
    </w:p>
    <w:p w:rsidR="00974496" w:rsidRPr="00FB13F4" w:rsidRDefault="00974496" w:rsidP="00EF335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Да ли ће понуђач испунити неопходан пословни капацитет уколико је </w:t>
      </w:r>
      <w:r w:rsidR="00E53E7A" w:rsidRPr="00FB13F4">
        <w:rPr>
          <w:rFonts w:ascii="Times New Roman" w:hAnsi="Times New Roman" w:cs="Times New Roman"/>
          <w:sz w:val="24"/>
          <w:szCs w:val="24"/>
          <w:lang w:val="sr-Cyrl-RS"/>
        </w:rPr>
        <w:t>реализовао само један уговор са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 вишеструко већом вредношћу од минималне захтеване вредности бар једног реализованог уговора (80.000.000,00 динара без ПДВ-а)?</w:t>
      </w:r>
    </w:p>
    <w:p w:rsidR="00EF3358" w:rsidRPr="00FB13F4" w:rsidRDefault="00974496" w:rsidP="00EF33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color w:val="1F497D"/>
          <w:sz w:val="24"/>
          <w:szCs w:val="24"/>
          <w:lang w:val="sr-Cyrl-RS"/>
        </w:rPr>
        <w:t> </w:t>
      </w:r>
      <w:r w:rsidR="00EF3358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4:</w:t>
      </w:r>
    </w:p>
    <w:p w:rsidR="00EF3358" w:rsidRPr="00FB13F4" w:rsidRDefault="00EF3358" w:rsidP="00205EA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Конкурсном документацијом прецизно је одређено које услове у погледу пословног капацитета мора да испуни понуђач.</w:t>
      </w:r>
    </w:p>
    <w:p w:rsidR="00EF3358" w:rsidRPr="00FB13F4" w:rsidRDefault="00205EA5" w:rsidP="002B09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>Није од значаја околност да је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</w:t>
      </w:r>
      <w:r w:rsidR="00795E7A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реализовао један уговор са вишеструко већом вредношћу од минималне захтеване вредности бар једног реализованог уговора (80.000.000,00 динара </w:t>
      </w:r>
      <w:r w:rsidR="00795E7A" w:rsidRPr="00FB13F4">
        <w:rPr>
          <w:rFonts w:ascii="Times New Roman" w:hAnsi="Times New Roman" w:cs="Times New Roman"/>
          <w:sz w:val="24"/>
          <w:szCs w:val="24"/>
          <w:lang w:val="ru-RU"/>
        </w:rPr>
        <w:t>без ПДВ-а</w:t>
      </w:r>
      <w:r w:rsidR="00795E7A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), уколико не испуњава остале захтеве предметног додатног услова (уколико није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као главни извођач или понуђач у оквиру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учествовао у реализацији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5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795E7A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државних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који могу бити државни путеви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I и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последњ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их 5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(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а, рачунајући од дана објављивања позива подношења понуда (у обзир долазе уговори који су реализовани), </w:t>
      </w:r>
      <w:r w:rsidR="00795E7A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од којих је бар један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795E7A" w:rsidRPr="00FB13F4">
        <w:rPr>
          <w:rFonts w:ascii="Times New Roman" w:hAnsi="Times New Roman" w:cs="Times New Roman"/>
          <w:sz w:val="24"/>
          <w:szCs w:val="24"/>
          <w:lang w:val="ru-RU"/>
        </w:rPr>
        <w:t xml:space="preserve">у вредности од најмање 80.000.000,00 динара без ПДВ-а, </w:t>
      </w:r>
      <w:r w:rsidR="00795E7A" w:rsidRPr="00FB13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као и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а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је као главни извођач или понуђач у оквиру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учествовао у реализацији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(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)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уговора чији предмет се односи на изградњу или реконструкцију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армирано-бетонских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 мостова на државним путевима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I и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</w:rPr>
        <w:t xml:space="preserve"> 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(учествовање у реализацији изградње/реконструкције најмање два моста), и то 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последњ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их 5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 (</w:t>
      </w:r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795E7A" w:rsidRPr="00FB13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5E7A" w:rsidRPr="00FB13F4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795E7A" w:rsidRPr="00FB13F4">
        <w:rPr>
          <w:rFonts w:ascii="Times New Roman" w:hAnsi="Times New Roman" w:cs="Times New Roman"/>
          <w:sz w:val="24"/>
          <w:szCs w:val="24"/>
          <w:lang w:val="sr-Cyrl-CS"/>
        </w:rPr>
        <w:t>а, рачунајући од дана објављивања позива подношења понуда (у обзир долазе уговори/пројекти који су реализовани). Уколико понуђач не достави доказе о испуњености свих захтеваних услова у погледу пословног капацитета, сматраће се да не испуњава тражене услове.</w:t>
      </w:r>
    </w:p>
    <w:p w:rsidR="00974496" w:rsidRPr="00FB13F4" w:rsidRDefault="00974496" w:rsidP="002B09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5.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FD12FF"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бр. 5:</w:t>
      </w:r>
    </w:p>
    <w:p w:rsidR="00974496" w:rsidRPr="00FB13F4" w:rsidRDefault="00974496" w:rsidP="002B09D5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Да ли ће бити прихваћени радови на појачаном одржавању државног пута као референтни ако се само Уговор зове појачано одржавање а радови су идентични са радовима из предмера и предрачуна радова из конкурсне документације?</w:t>
      </w:r>
    </w:p>
    <w:p w:rsidR="00FD12FF" w:rsidRPr="00FB13F4" w:rsidRDefault="00974496" w:rsidP="002B09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="00FD12FF" w:rsidRPr="00FB13F4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="00FD12FF"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5:</w:t>
      </w:r>
    </w:p>
    <w:p w:rsidR="00974496" w:rsidRPr="00FB13F4" w:rsidRDefault="00BE63DF" w:rsidP="002B09D5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прецизно је одређено да ће се узимати у обзир искључиво учешће у реализацији уговора који се односе на 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изградњу и реконструкцију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. Радови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на појачаном одржавању државног пута, као ни друге врсте радова који нису изведени у оквиру реализације пројеката изградње и/или реконструкције, односно - чије извођене је регулисано одредбама Закона о јавним путевима, а не одредбама Закона о планирању и изградњи, неће се сматрати референтним. </w:t>
      </w:r>
      <w:r w:rsidR="00AA228F"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Докази о испуњености услова у погледу пословног капацитета морају се односити искључиво на извођење радова у оквиру реализације пројеката </w:t>
      </w:r>
      <w:r w:rsidR="00AA228F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изградње и/или реконструкције.</w:t>
      </w:r>
    </w:p>
    <w:p w:rsidR="00974496" w:rsidRPr="00FB13F4" w:rsidRDefault="00974496" w:rsidP="0097449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6.</w:t>
      </w:r>
      <w:r w:rsidRPr="00FB13F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     </w:t>
      </w:r>
      <w:r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B34008" w:rsidRPr="00FB13F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бр. 6:</w:t>
      </w:r>
    </w:p>
    <w:p w:rsidR="00974496" w:rsidRPr="00FB13F4" w:rsidRDefault="00974496" w:rsidP="00B3400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Да ли ће бити прихваћени радови на редовном одржавању путева као референтни ако се само Уговор зове редовно одржавање а радови су сродни са радовима из предмера и предрачуна радова из конкурсне документације?</w:t>
      </w:r>
    </w:p>
    <w:p w:rsidR="00F76877" w:rsidRPr="00FB13F4" w:rsidRDefault="00F76877" w:rsidP="00F768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13F4">
        <w:rPr>
          <w:rFonts w:ascii="Times New Roman" w:hAnsi="Times New Roman" w:cs="Times New Roman"/>
          <w:sz w:val="24"/>
          <w:szCs w:val="24"/>
          <w:lang w:val="sr-Cyrl-RS"/>
        </w:rPr>
        <w:t>  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6:</w:t>
      </w:r>
    </w:p>
    <w:p w:rsidR="00F76877" w:rsidRPr="00FB13F4" w:rsidRDefault="00F76877" w:rsidP="00F76877">
      <w:pPr>
        <w:jc w:val="both"/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прецизно је одређено да ће се узимати у обзир искључиво учешће у реализацији уговора који се односе на 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изградњу и реконструкцију</w:t>
      </w:r>
      <w:r w:rsidRPr="00FB13F4">
        <w:rPr>
          <w:rFonts w:ascii="Times New Roman" w:hAnsi="Times New Roman" w:cs="Times New Roman"/>
          <w:sz w:val="24"/>
          <w:szCs w:val="24"/>
          <w:lang w:val="sr-Cyrl-CS"/>
        </w:rPr>
        <w:t xml:space="preserve">. Радови </w:t>
      </w:r>
      <w:r w:rsidRPr="00FB13F4">
        <w:rPr>
          <w:rFonts w:ascii="Times New Roman" w:hAnsi="Times New Roman" w:cs="Times New Roman"/>
          <w:sz w:val="24"/>
          <w:szCs w:val="24"/>
          <w:lang w:val="sr-Cyrl-RS"/>
        </w:rPr>
        <w:t xml:space="preserve">на редовном одржавању државног пута, као ни друге врсте радова који нису изведени у оквиру реализације пројеката изградње и/или реконструкције, односно - чије извођене је регулисано одредбама Закона о јавним путевима, а не одредбама Закона о планирању и изградњи, неће се сматрати референтним. Докази о испуњености услова у погледу пословног капацитета морају се односити искључиво на извођење радова у оквиру реализације пројеката </w:t>
      </w:r>
      <w:r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изградње и/или реконструкције.</w:t>
      </w:r>
    </w:p>
    <w:sectPr w:rsidR="00F76877" w:rsidRPr="00FB13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9D" w:rsidRDefault="00055D9D" w:rsidP="001C7508">
      <w:pPr>
        <w:spacing w:after="0" w:line="240" w:lineRule="auto"/>
      </w:pPr>
      <w:r>
        <w:separator/>
      </w:r>
    </w:p>
  </w:endnote>
  <w:endnote w:type="continuationSeparator" w:id="0">
    <w:p w:rsidR="00055D9D" w:rsidRDefault="00055D9D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00D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FF5">
              <w:rPr>
                <w:rFonts w:ascii="Times New Roman" w:hAnsi="Times New Roman" w:cs="Times New Roman"/>
              </w:rPr>
              <w:t>од</w:t>
            </w:r>
            <w:proofErr w:type="spellEnd"/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00D7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9D" w:rsidRDefault="00055D9D" w:rsidP="001C7508">
      <w:pPr>
        <w:spacing w:after="0" w:line="240" w:lineRule="auto"/>
      </w:pPr>
      <w:r>
        <w:separator/>
      </w:r>
    </w:p>
  </w:footnote>
  <w:footnote w:type="continuationSeparator" w:id="0">
    <w:p w:rsidR="00055D9D" w:rsidRDefault="00055D9D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46A75"/>
    <w:rsid w:val="00055D9D"/>
    <w:rsid w:val="000B0A5F"/>
    <w:rsid w:val="000B5F14"/>
    <w:rsid w:val="000D0282"/>
    <w:rsid w:val="000D0FF5"/>
    <w:rsid w:val="00102942"/>
    <w:rsid w:val="00102F19"/>
    <w:rsid w:val="001416FC"/>
    <w:rsid w:val="0018571D"/>
    <w:rsid w:val="001B0D42"/>
    <w:rsid w:val="001C7508"/>
    <w:rsid w:val="001D3B14"/>
    <w:rsid w:val="001F00D7"/>
    <w:rsid w:val="00205EA5"/>
    <w:rsid w:val="0026299A"/>
    <w:rsid w:val="00270416"/>
    <w:rsid w:val="00280E2F"/>
    <w:rsid w:val="002B09D5"/>
    <w:rsid w:val="002D1483"/>
    <w:rsid w:val="00313918"/>
    <w:rsid w:val="0033574E"/>
    <w:rsid w:val="003D1DA4"/>
    <w:rsid w:val="0042009B"/>
    <w:rsid w:val="004C11EC"/>
    <w:rsid w:val="004D4154"/>
    <w:rsid w:val="004F411B"/>
    <w:rsid w:val="004F75DB"/>
    <w:rsid w:val="005071B4"/>
    <w:rsid w:val="005A4466"/>
    <w:rsid w:val="005B15D9"/>
    <w:rsid w:val="00652FAA"/>
    <w:rsid w:val="006A1CAD"/>
    <w:rsid w:val="006D4640"/>
    <w:rsid w:val="006E4CF5"/>
    <w:rsid w:val="00733276"/>
    <w:rsid w:val="0076125A"/>
    <w:rsid w:val="007925CA"/>
    <w:rsid w:val="007933CE"/>
    <w:rsid w:val="00795E7A"/>
    <w:rsid w:val="007B09F8"/>
    <w:rsid w:val="007B5CBD"/>
    <w:rsid w:val="00800C0D"/>
    <w:rsid w:val="00805C46"/>
    <w:rsid w:val="00817659"/>
    <w:rsid w:val="00824153"/>
    <w:rsid w:val="0084254C"/>
    <w:rsid w:val="00855648"/>
    <w:rsid w:val="00884984"/>
    <w:rsid w:val="00893B83"/>
    <w:rsid w:val="008A17C4"/>
    <w:rsid w:val="009034DA"/>
    <w:rsid w:val="00966999"/>
    <w:rsid w:val="00974496"/>
    <w:rsid w:val="009926E4"/>
    <w:rsid w:val="009A03B7"/>
    <w:rsid w:val="009D4B9E"/>
    <w:rsid w:val="009E27DF"/>
    <w:rsid w:val="00A131D4"/>
    <w:rsid w:val="00A203AD"/>
    <w:rsid w:val="00A24B94"/>
    <w:rsid w:val="00A47636"/>
    <w:rsid w:val="00A73031"/>
    <w:rsid w:val="00A757BE"/>
    <w:rsid w:val="00AA228F"/>
    <w:rsid w:val="00AB414B"/>
    <w:rsid w:val="00AE7970"/>
    <w:rsid w:val="00B30D04"/>
    <w:rsid w:val="00B34008"/>
    <w:rsid w:val="00B8425B"/>
    <w:rsid w:val="00B9393C"/>
    <w:rsid w:val="00BB4C8A"/>
    <w:rsid w:val="00BB688F"/>
    <w:rsid w:val="00BE3F9F"/>
    <w:rsid w:val="00BE63DF"/>
    <w:rsid w:val="00C16B6B"/>
    <w:rsid w:val="00C421B6"/>
    <w:rsid w:val="00C50DBD"/>
    <w:rsid w:val="00D21074"/>
    <w:rsid w:val="00D51370"/>
    <w:rsid w:val="00D64DF8"/>
    <w:rsid w:val="00D6587A"/>
    <w:rsid w:val="00D94AC1"/>
    <w:rsid w:val="00DE6294"/>
    <w:rsid w:val="00DF1EA5"/>
    <w:rsid w:val="00E06CD9"/>
    <w:rsid w:val="00E4546E"/>
    <w:rsid w:val="00E46B3A"/>
    <w:rsid w:val="00E53E7A"/>
    <w:rsid w:val="00EA67C2"/>
    <w:rsid w:val="00EA727E"/>
    <w:rsid w:val="00EE798C"/>
    <w:rsid w:val="00EF3358"/>
    <w:rsid w:val="00F06D14"/>
    <w:rsid w:val="00F44586"/>
    <w:rsid w:val="00F54181"/>
    <w:rsid w:val="00F547A1"/>
    <w:rsid w:val="00F65C0C"/>
    <w:rsid w:val="00F76877"/>
    <w:rsid w:val="00F81096"/>
    <w:rsid w:val="00FA2D32"/>
    <w:rsid w:val="00FB13F4"/>
    <w:rsid w:val="00FB1A69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F11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5</cp:revision>
  <cp:lastPrinted>2016-08-29T11:00:00Z</cp:lastPrinted>
  <dcterms:created xsi:type="dcterms:W3CDTF">2018-02-12T07:31:00Z</dcterms:created>
  <dcterms:modified xsi:type="dcterms:W3CDTF">2018-02-12T08:40:00Z</dcterms:modified>
</cp:coreProperties>
</file>