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96" w:rsidRDefault="004F202A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6" w:type="dxa"/>
        <w:tblInd w:w="1" w:type="dxa"/>
        <w:tblCellMar>
          <w:top w:w="7" w:type="dxa"/>
          <w:left w:w="64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464"/>
        <w:gridCol w:w="141"/>
        <w:gridCol w:w="143"/>
        <w:gridCol w:w="878"/>
        <w:gridCol w:w="374"/>
        <w:gridCol w:w="374"/>
        <w:gridCol w:w="374"/>
        <w:gridCol w:w="377"/>
        <w:gridCol w:w="408"/>
      </w:tblGrid>
      <w:tr w:rsidR="00974D96" w:rsidTr="006A374B">
        <w:trPr>
          <w:trHeight w:val="278"/>
        </w:trPr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A374B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</w:tr>
      <w:tr w:rsidR="00974D96" w:rsidTr="006A374B">
        <w:trPr>
          <w:trHeight w:val="303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D96" w:rsidRDefault="004F202A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4D96" w:rsidRDefault="004F202A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74D96" w:rsidRDefault="004F202A">
            <w:pPr>
              <w:spacing w:after="2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910692" w:rsidRPr="00910692" w:rsidRDefault="004F202A" w:rsidP="00910692">
            <w:pPr>
              <w:spacing w:after="17" w:line="22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910692" w:rsidRPr="00910692">
              <w:rPr>
                <w:rFonts w:ascii="Times New Roman" w:hAnsi="Times New Roman" w:cs="Times New Roman"/>
                <w:b/>
              </w:rPr>
              <w:t xml:space="preserve">Сектор за инспекцијски надзор </w:t>
            </w:r>
          </w:p>
          <w:p w:rsidR="00974D96" w:rsidRDefault="00910692" w:rsidP="00910692">
            <w:pPr>
              <w:ind w:left="44"/>
              <w:jc w:val="center"/>
            </w:pPr>
            <w:r w:rsidRPr="00910692">
              <w:rPr>
                <w:rFonts w:ascii="Times New Roman" w:hAnsi="Times New Roman" w:cs="Times New Roman"/>
                <w:b/>
              </w:rPr>
              <w:t xml:space="preserve"> Одсек </w:t>
            </w:r>
            <w:r w:rsidRPr="00910692">
              <w:rPr>
                <w:rFonts w:ascii="Times New Roman" w:hAnsi="Times New Roman" w:cs="Times New Roman"/>
                <w:b/>
                <w:lang w:val="sr-Cyrl-RS"/>
              </w:rPr>
              <w:t>за инспекцијске послове у области комуналних делатности</w:t>
            </w:r>
          </w:p>
        </w:tc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6A374B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ПРОИЗВОДЊА, ДИСТРИБУЦИЈА И СНАБДЕВАЊЕ ТОПЛОТНОМ ЕНЕРГИЈОМ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74D96" w:rsidRDefault="004F202A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974D96" w:rsidRDefault="00AA3BE8">
            <w:pPr>
              <w:ind w:left="3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 xml:space="preserve">Службени </w:t>
            </w:r>
            <w:r w:rsidR="004F202A">
              <w:rPr>
                <w:i/>
              </w:rPr>
              <w:t>гласник РС“, бр.</w:t>
            </w:r>
            <w:r>
              <w:rPr>
                <w:i/>
                <w:lang w:val="sr-Cyrl-RS"/>
              </w:rPr>
              <w:t xml:space="preserve"> </w:t>
            </w:r>
            <w:r w:rsidR="004F202A">
              <w:rPr>
                <w:i/>
              </w:rPr>
              <w:t>88/11</w:t>
            </w:r>
            <w:r w:rsidR="00910692">
              <w:rPr>
                <w:i/>
              </w:rPr>
              <w:t xml:space="preserve"> </w:t>
            </w:r>
            <w:r w:rsidR="00910692">
              <w:rPr>
                <w:i/>
                <w:lang w:val="sr-Cyrl-RS"/>
              </w:rPr>
              <w:t>и 104/16</w:t>
            </w:r>
            <w:r w:rsidR="004F202A">
              <w:rPr>
                <w:i/>
              </w:rPr>
              <w:t xml:space="preserve">)  </w:t>
            </w:r>
          </w:p>
        </w:tc>
      </w:tr>
      <w:tr w:rsidR="00974D96" w:rsidTr="006A374B">
        <w:trPr>
          <w:trHeight w:val="28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D96" w:rsidRDefault="00974D96" w:rsidP="00A64C4E"/>
        </w:tc>
      </w:tr>
      <w:tr w:rsidR="00974D96" w:rsidTr="006A374B">
        <w:trPr>
          <w:trHeight w:val="631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10C92" w:rsidRDefault="00952489" w:rsidP="00810C9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у јединици локалне самоуправе обавља комунална делатност </w:t>
            </w:r>
            <w:r w:rsidR="006A374B" w:rsidRPr="00810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Pr="00810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74D96" w:rsidTr="006A374B">
        <w:trPr>
          <w:trHeight w:val="1339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6A374B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ли се у оквиру комуналне делатности</w:t>
            </w:r>
            <w:r w:rsidR="006A37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374B" w:rsidRPr="006A37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6A37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врши:</w:t>
            </w:r>
          </w:p>
          <w:p w:rsidR="00974D96" w:rsidRDefault="006A374B" w:rsidP="006A374B">
            <w:pPr>
              <w:pStyle w:val="ListParagraph"/>
              <w:numPr>
                <w:ilvl w:val="0"/>
                <w:numId w:val="6"/>
              </w:num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Централизована производња и дистрибуција у више објеката водене паре, топле и вреле воде за потребе грејања.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4F202A" w:rsidP="00910692">
            <w:pPr>
              <w:spacing w:after="13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974D96" w:rsidP="00910692">
            <w:pPr>
              <w:ind w:left="931"/>
            </w:pPr>
          </w:p>
        </w:tc>
      </w:tr>
      <w:tr w:rsidR="00974D96" w:rsidTr="006A374B">
        <w:trPr>
          <w:trHeight w:val="963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Који проценат територије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комуналне делатности </w:t>
            </w:r>
            <w:r w:rsidR="00CA1526" w:rsidRPr="0079681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Преко 50% - 1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spacing w:after="8"/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Мање од 50% - 0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6A374B">
        <w:trPr>
          <w:trHeight w:val="551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910692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Укупан број становника</w:t>
            </w:r>
            <w:r w:rsidR="006A374B">
              <w:rPr>
                <w:rFonts w:ascii="Times New Roman" w:eastAsia="Times New Roman" w:hAnsi="Times New Roman" w:cs="Times New Roman"/>
                <w:sz w:val="24"/>
              </w:rPr>
              <w:t xml:space="preserve"> у јединици локалне самоуправе.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6A374B">
        <w:trPr>
          <w:trHeight w:val="532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E53658">
            <w:pPr>
              <w:ind w:left="502" w:hanging="360"/>
              <w:jc w:val="both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910692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910692" w:rsidRPr="00910692">
              <w:rPr>
                <w:rFonts w:ascii="Times New Roman" w:eastAsia="Arial" w:hAnsi="Times New Roman" w:cs="Times New Roman"/>
                <w:sz w:val="24"/>
                <w:lang w:val="sr-Cyrl-RS"/>
              </w:rPr>
              <w:t>Укупан б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>рој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65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корисника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који је обухваћен усл</w:t>
            </w:r>
            <w:r w:rsidR="006A374B">
              <w:rPr>
                <w:rFonts w:ascii="Times New Roman" w:eastAsia="Times New Roman" w:hAnsi="Times New Roman" w:cs="Times New Roman"/>
                <w:sz w:val="24"/>
              </w:rPr>
              <w:t xml:space="preserve">угом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A37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6A374B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2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Default="004F202A" w:rsidP="005020D0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5020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ПРОИЗВОДЊА, ДИСТРИБУЦИЈА И СНАБДЕВАЊЕ ТОПЛОТНОМ ЕНЕРГИЈОМ</w:t>
            </w:r>
            <w:r w:rsidR="005020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0692" w:rsidTr="006A374B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74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92" w:rsidRDefault="006A374B" w:rsidP="00910692">
            <w:pPr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10692">
              <w:rPr>
                <w:rFonts w:ascii="Arial" w:eastAsia="Arial" w:hAnsi="Arial" w:cs="Arial"/>
                <w:sz w:val="24"/>
              </w:rPr>
              <w:t xml:space="preserve"> 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Навести вршиоца комуналне делатности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: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0692" w:rsidRDefault="00910692">
            <w:pPr>
              <w:ind w:left="102" w:right="50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910692" w:rsidRDefault="00910692" w:rsidP="00910692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6A374B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83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A374B" w:rsidP="00910692">
            <w:pPr>
              <w:ind w:left="419" w:right="2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јединица локалне самоуправе врши надзор над радом вршиоца комуналне делатности? </w:t>
            </w:r>
          </w:p>
          <w:p w:rsidR="00974D96" w:rsidRDefault="004F202A">
            <w:pPr>
              <w:ind w:left="4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Pr="00335EFA" w:rsidRDefault="00FD6232">
            <w:pPr>
              <w:ind w:left="103"/>
              <w:rPr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- 2</w:t>
            </w:r>
            <w:r w:rsidR="00335EFA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  <w:p w:rsidR="00974D96" w:rsidRDefault="004F202A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6A374B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42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A374B" w:rsidP="00472121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вршилац комуналне делатности:  </w:t>
            </w:r>
          </w:p>
          <w:p w:rsidR="00E53658" w:rsidRDefault="00E53658" w:rsidP="00E53658">
            <w:pPr>
              <w:pStyle w:val="ListParagraph"/>
              <w:numPr>
                <w:ilvl w:val="0"/>
                <w:numId w:val="7"/>
              </w:numPr>
              <w:spacing w:after="17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јавно предузеће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3658" w:rsidRDefault="00E53658" w:rsidP="00E53658">
            <w:pPr>
              <w:pStyle w:val="ListParagraph"/>
              <w:numPr>
                <w:ilvl w:val="0"/>
                <w:numId w:val="7"/>
              </w:numPr>
              <w:spacing w:after="17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привредно друштво;</w:t>
            </w:r>
          </w:p>
          <w:p w:rsidR="00E53658" w:rsidRDefault="00E53658" w:rsidP="00E53658">
            <w:pPr>
              <w:pStyle w:val="ListParagraph"/>
              <w:numPr>
                <w:ilvl w:val="0"/>
                <w:numId w:val="7"/>
              </w:numPr>
              <w:spacing w:after="21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74D96" w:rsidRDefault="00E53658" w:rsidP="00E53658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привредни субјект              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</w:tc>
      </w:tr>
      <w:tr w:rsidR="00974D96" w:rsidTr="005020D0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507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A374B" w:rsidP="00472121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поверавање обављања комуналне делатности </w:t>
            </w:r>
            <w:r w:rsidR="00CA1526" w:rsidRPr="00CA152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4F202A" w:rsidRPr="00CA152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извршено на основу: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Одлуке о начину обављања ове комуналне делатности </w:t>
            </w:r>
            <w:r w:rsidR="00E5365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или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Уговора о поверавању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- 2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472121" w:rsidRDefault="00472121" w:rsidP="00472121">
            <w:pPr>
              <w:rPr>
                <w:rFonts w:ascii="Webdings" w:eastAsia="Webdings" w:hAnsi="Webdings" w:cs="Webdings"/>
              </w:rPr>
            </w:pPr>
          </w:p>
          <w:p w:rsidR="00974D96" w:rsidRDefault="00974D96" w:rsidP="00E53658"/>
        </w:tc>
      </w:tr>
      <w:tr w:rsidR="00974D96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96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Default="004F202A" w:rsidP="005020D0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ДЕЛАТНОСТИ И КОРИСНИКА КОМУНАЛНИХ УСЛУГА</w:t>
            </w:r>
            <w:r w:rsidR="005020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ПРОИЗВОДЊА, ДИСТРИБУЦИЈА И СНАБДЕВАЊЕ ТОПЛОТНОМ ЕНЕРГИЈОМ</w:t>
            </w:r>
            <w:r w:rsidR="005020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39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AC146E" w:rsidP="00E53658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5365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 w:rsid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одлукама прописала начин обављања комуналне делатности 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, права и обавезе вршилаца комуналне делатности, корисника услуга...?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6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-2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589A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79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A" w:rsidRDefault="00F703E9" w:rsidP="006A589A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12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Навести назив Одлуке кој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м је прописан начин обављања комуналне делатности</w:t>
            </w:r>
          </w:p>
          <w:p w:rsidR="00810C92" w:rsidRDefault="006A589A" w:rsidP="006A589A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475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ужбеног</w:t>
            </w:r>
          </w:p>
          <w:p w:rsidR="006A589A" w:rsidRDefault="00810C92" w:rsidP="006A589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 xml:space="preserve"> у кој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м је објављен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6A58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61004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597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92" w:rsidRDefault="00961004" w:rsidP="00961004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703E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13</w:t>
            </w:r>
            <w:r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Да ли је јединица локалне самоуправе ускладила своја</w:t>
            </w:r>
          </w:p>
          <w:p w:rsidR="00961004" w:rsidRDefault="00810C92" w:rsidP="00E53658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 </w:t>
            </w:r>
            <w:r w:rsidR="00961004"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општа акта са Законом?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- 4     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974D96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703E9" w:rsidP="0047530E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поступа у складу са обавезама из чл.17. Закона у случају непланираних прекида испоруке у пружању комуналне услуге 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10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961004" w:rsidTr="0047530E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5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4" w:rsidRPr="00F703E9" w:rsidRDefault="00F703E9" w:rsidP="00F703E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703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Скупштина јединице локалне самоуправе одредила начин континуираног изјашњавања (најмање једном годишње) корисника комуналних услуга о квалитету пружања комуналне услуге </w:t>
            </w:r>
            <w:r w:rsidRPr="00F703E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 и одвођење атмосферских и отпадних вода</w:t>
            </w:r>
            <w:r w:rsidRPr="00F703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107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F703E9">
              <w:rPr>
                <w:rFonts w:ascii="Times New Roman" w:eastAsia="Times New Roman" w:hAnsi="Times New Roman" w:cs="Times New Roman"/>
                <w:sz w:val="24"/>
              </w:rPr>
              <w:t>Да - 2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B637AF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AF" w:rsidRPr="00F703E9" w:rsidRDefault="00B637AF" w:rsidP="00F703E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703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 корисника комуналне услуге:</w:t>
            </w:r>
          </w:p>
          <w:p w:rsidR="00B637AF" w:rsidRPr="00961004" w:rsidRDefault="00B637AF" w:rsidP="00B637AF">
            <w:pPr>
              <w:numPr>
                <w:ilvl w:val="0"/>
                <w:numId w:val="24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="00F703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лекронским путем 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</w:t>
            </w:r>
          </w:p>
          <w:p w:rsidR="00B637AF" w:rsidRPr="00B637AF" w:rsidRDefault="00B637AF" w:rsidP="00B637AF">
            <w:pPr>
              <w:pStyle w:val="ListParagraph"/>
              <w:numPr>
                <w:ilvl w:val="0"/>
                <w:numId w:val="24"/>
              </w:numPr>
              <w:rPr>
                <w:rFonts w:ascii="Webdings" w:eastAsia="Webdings" w:hAnsi="Webdings" w:cs="Webdings"/>
              </w:rPr>
            </w:pPr>
            <w:r w:rsidRPr="00B637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B637AF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AF" w:rsidRPr="00961004" w:rsidRDefault="00F703E9" w:rsidP="00F703E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7AF" w:rsidRDefault="00FD6232">
            <w:pPr>
              <w:ind w:left="107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B637AF">
              <w:rPr>
                <w:rFonts w:ascii="Webdings" w:eastAsia="Webdings" w:hAnsi="Webdings" w:cs="Webdings"/>
              </w:rPr>
              <w:t></w:t>
            </w:r>
            <w:r w:rsidR="00B637AF">
              <w:rPr>
                <w:rFonts w:ascii="Times New Roman" w:eastAsia="Times New Roman" w:hAnsi="Times New Roman" w:cs="Times New Roman"/>
              </w:rPr>
              <w:t xml:space="preserve">  </w:t>
            </w:r>
            <w:r w:rsidR="00B637AF"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 w:rsidR="00B637AF">
              <w:rPr>
                <w:rFonts w:ascii="Webdings" w:eastAsia="Webdings" w:hAnsi="Webdings" w:cs="Webdings"/>
              </w:rPr>
              <w:t></w:t>
            </w:r>
            <w:r w:rsidR="00B637AF">
              <w:rPr>
                <w:rFonts w:ascii="Times New Roman" w:eastAsia="Times New Roman" w:hAnsi="Times New Roman" w:cs="Times New Roman"/>
              </w:rPr>
              <w:t xml:space="preserve">  </w:t>
            </w:r>
            <w:r w:rsidR="00B637AF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48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4D96" w:rsidRDefault="005020D0" w:rsidP="005020D0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ПРОМЕНА ЦЕНА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ПРОИЗВОДЊА, ДИСТРИБУЦИЈА И СНАБДЕВАЊЕ ТОПЛОТНОМ ЕНЕРГИЈОМ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9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703E9" w:rsidP="0047530E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18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на одлуку о промени цене комуналне услуге 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475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сагласност даје надлежни орган </w:t>
            </w:r>
            <w:r w:rsidR="0007654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3F09F3" w:rsidTr="000539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9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F3" w:rsidRPr="003F09F3" w:rsidRDefault="003F09F3" w:rsidP="003F09F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 w:rsidRPr="003F09F3">
              <w:rPr>
                <w:rFonts w:ascii="Times New Roman" w:eastAsia="Arial" w:hAnsi="Times New Roman" w:cs="Times New Roman"/>
                <w:sz w:val="24"/>
                <w:lang w:val="sr-Cyrl-RS"/>
              </w:rPr>
              <w:t>Навести који надлежни орган</w:t>
            </w:r>
            <w:r w:rsidRPr="003F09F3"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Pr="003F09F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 јединици локалне самоуправе даје сагласност на </w:t>
            </w:r>
          </w:p>
          <w:p w:rsidR="00660B1E" w:rsidRDefault="003F09F3" w:rsidP="003F09F3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промену цене комуналне услуге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производња, дистрибуција и снабдевање</w:t>
            </w:r>
          </w:p>
          <w:p w:rsidR="003F09F3" w:rsidRDefault="00660B1E" w:rsidP="003F09F3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</w:t>
            </w:r>
            <w:r w:rsidR="003F09F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топлотном енергијом.</w:t>
            </w:r>
          </w:p>
          <w:p w:rsidR="003F09F3" w:rsidRDefault="003F09F3" w:rsidP="003F09F3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</w:p>
          <w:p w:rsidR="003F09F3" w:rsidRDefault="003F09F3" w:rsidP="003F09F3">
            <w:pPr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74D96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068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AC146E" w:rsidP="003F09F3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3F09F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 цена за пружање комуналне услуге 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47530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еднак</w:t>
            </w:r>
            <w:r w:rsidR="006A472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а за све категорије </w:t>
            </w:r>
            <w:r w:rsidR="003F09F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потрошача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244DAB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Да 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AC146E" w:rsidP="0047530E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3F09F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 јединици локалне самоуправе постоје утврђене категорије корисника који плаћају субвенционирану цену комуналне услуге 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12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</w:p>
        </w:tc>
      </w:tr>
      <w:tr w:rsidR="00244DAB" w:rsidTr="006A374B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AC146E" w:rsidP="003F09F3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3F09F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5F5F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ли</w:t>
            </w:r>
            <w:r w:rsidR="005F5F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јединица локалне самоуправе вршиоцу комуналне делатности</w:t>
            </w:r>
            <w:r w:rsidR="005F5F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доставила списак и податке корисника који плаћају субвенционирану цену комуналне услуге </w:t>
            </w:r>
            <w:r w:rsidR="00475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дистрибуција и снабдевање топлотном енергијом</w:t>
            </w:r>
            <w:r w:rsidR="005F5F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DAB" w:rsidRDefault="00FD6232" w:rsidP="003F09F3">
            <w:pPr>
              <w:ind w:left="12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5F5F55">
              <w:rPr>
                <w:rFonts w:ascii="Webdings" w:eastAsia="Webdings" w:hAnsi="Webdings" w:cs="Webdings"/>
              </w:rPr>
              <w:t></w:t>
            </w:r>
            <w:r w:rsidR="005F5F55">
              <w:rPr>
                <w:rFonts w:ascii="Times New Roman" w:eastAsia="Times New Roman" w:hAnsi="Times New Roman" w:cs="Times New Roman"/>
              </w:rPr>
              <w:t xml:space="preserve">  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F09F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- 1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5F5F55">
              <w:rPr>
                <w:rFonts w:ascii="Webdings" w:eastAsia="Webdings" w:hAnsi="Webdings" w:cs="Webdings"/>
              </w:rPr>
              <w:t></w:t>
            </w:r>
            <w:r w:rsidR="005F5F55">
              <w:rPr>
                <w:rFonts w:ascii="Times New Roman" w:eastAsia="Times New Roman" w:hAnsi="Times New Roman" w:cs="Times New Roman"/>
              </w:rPr>
              <w:t xml:space="preserve">  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AC146E" w:rsidTr="00AE5CB0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9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146E" w:rsidRDefault="00AC146E" w:rsidP="005020D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ЗА ИЗГРАДЊУ КОМУНАЛНЕ ИНФРАСТРУКТУРЕ ПРОИЗВОДЊА, ДИСТРИБУЦИЈА И СНАБДЕВАЊЕ ТОПЛОТНОМ ЕНЕРГИЈОМ</w:t>
            </w:r>
          </w:p>
        </w:tc>
      </w:tr>
      <w:tr w:rsidR="00AC146E" w:rsidTr="00AE5CB0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2424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F3" w:rsidRDefault="00810C92" w:rsidP="003F09F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 w:rsidR="003F09F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23. </w:t>
            </w:r>
            <w:r w:rsidR="003F09F3" w:rsidRPr="00AC146E">
              <w:rPr>
                <w:rFonts w:ascii="Times New Roman" w:eastAsia="Times New Roman" w:hAnsi="Times New Roman" w:cs="Times New Roman"/>
                <w:sz w:val="24"/>
              </w:rPr>
              <w:t xml:space="preserve">Средства за обављање и развој комуналних делатности </w:t>
            </w:r>
          </w:p>
          <w:p w:rsidR="003F09F3" w:rsidRDefault="003F09F3" w:rsidP="003F09F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AC146E">
              <w:rPr>
                <w:rFonts w:ascii="Times New Roman" w:eastAsia="Times New Roman" w:hAnsi="Times New Roman" w:cs="Times New Roman"/>
                <w:sz w:val="24"/>
              </w:rPr>
              <w:t xml:space="preserve">обезбеђују се из: </w:t>
            </w:r>
          </w:p>
          <w:p w:rsidR="003F09F3" w:rsidRDefault="003F09F3" w:rsidP="003F09F3">
            <w:pPr>
              <w:pStyle w:val="ListParagraph"/>
              <w:numPr>
                <w:ilvl w:val="0"/>
                <w:numId w:val="25"/>
              </w:numPr>
              <w:spacing w:after="24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продаје комуналних услуга </w:t>
            </w:r>
          </w:p>
          <w:p w:rsidR="003F09F3" w:rsidRDefault="003F09F3" w:rsidP="003F09F3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концесионих накнада за обављање комуналних делатности </w:t>
            </w:r>
          </w:p>
          <w:p w:rsidR="003F09F3" w:rsidRDefault="003F09F3" w:rsidP="003F09F3">
            <w:pPr>
              <w:pStyle w:val="ListParagraph"/>
              <w:numPr>
                <w:ilvl w:val="0"/>
                <w:numId w:val="25"/>
              </w:numPr>
              <w:spacing w:after="23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буџета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3F09F3" w:rsidRDefault="003F09F3" w:rsidP="003F09F3">
            <w:pPr>
              <w:pStyle w:val="ListParagraph"/>
              <w:numPr>
                <w:ilvl w:val="0"/>
                <w:numId w:val="25"/>
              </w:numPr>
              <w:spacing w:after="22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наменских средстава других нивоа власти </w:t>
            </w:r>
          </w:p>
          <w:p w:rsidR="00AC146E" w:rsidRDefault="003F09F3" w:rsidP="003F09F3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 извора, у складу са законом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6E" w:rsidRDefault="00AC146E" w:rsidP="003F09F3">
            <w:pPr>
              <w:spacing w:after="19"/>
              <w:jc w:val="both"/>
              <w:rPr>
                <w:rFonts w:ascii="Webdings" w:eastAsia="Webdings" w:hAnsi="Webdings" w:cs="Webdings"/>
                <w:lang w:val="sr-Cyrl-RS"/>
              </w:rPr>
            </w:pPr>
          </w:p>
          <w:p w:rsidR="00AC146E" w:rsidRDefault="00AC146E" w:rsidP="00AC14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AC146E" w:rsidRDefault="00AC146E" w:rsidP="00AC14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AC146E" w:rsidRDefault="00AC146E" w:rsidP="00AC14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AC146E" w:rsidRDefault="00AC146E" w:rsidP="00AC146E">
            <w:pPr>
              <w:spacing w:after="1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C146E" w:rsidRDefault="00AC146E" w:rsidP="00AC146E">
            <w:pPr>
              <w:spacing w:after="1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C146E" w:rsidRDefault="00AC146E" w:rsidP="00AC146E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</w:tbl>
    <w:p w:rsidR="005F5F55" w:rsidRDefault="005F5F55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Pr="00023313" w:rsidRDefault="004F202A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>РЕЗУЛТАТ НАДЗОРА У БОДОВИМА</w:t>
      </w:r>
      <w:r w:rsidRPr="0002331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5F5F55" w:rsidRPr="00023313" w:rsidRDefault="005F5F55">
      <w:pPr>
        <w:spacing w:after="0"/>
        <w:ind w:left="10" w:right="44" w:hanging="10"/>
        <w:jc w:val="center"/>
        <w:rPr>
          <w:sz w:val="20"/>
          <w:szCs w:val="20"/>
        </w:rPr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974D96" w:rsidRPr="00023313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jc w:val="center"/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ind w:right="3"/>
              <w:jc w:val="center"/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Број </w:t>
            </w:r>
          </w:p>
        </w:tc>
      </w:tr>
      <w:tr w:rsidR="00974D96" w:rsidRPr="00023313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974D9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D707B0">
            <w:pPr>
              <w:ind w:right="1"/>
              <w:jc w:val="center"/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4F202A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23313" w:rsidRDefault="00023313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D96" w:rsidRPr="00023313" w:rsidRDefault="004F202A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Надзором УТВРЂЕНИ БРОЈ БОДОВА: _________ </w:t>
      </w:r>
    </w:p>
    <w:p w:rsidR="005F5F55" w:rsidRPr="00023313" w:rsidRDefault="005F5F55">
      <w:pPr>
        <w:spacing w:after="0"/>
        <w:ind w:left="10" w:right="45" w:hanging="10"/>
        <w:jc w:val="center"/>
        <w:rPr>
          <w:sz w:val="20"/>
          <w:szCs w:val="20"/>
        </w:rPr>
      </w:pPr>
    </w:p>
    <w:tbl>
      <w:tblPr>
        <w:tblStyle w:val="TableGrid"/>
        <w:tblW w:w="3399" w:type="dxa"/>
        <w:tblInd w:w="2816" w:type="dxa"/>
        <w:tblCellMar>
          <w:top w:w="4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974D96" w:rsidRPr="0002331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ind w:left="43"/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ind w:right="11"/>
              <w:jc w:val="center"/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Распон бодова </w:t>
            </w:r>
          </w:p>
        </w:tc>
      </w:tr>
      <w:tr w:rsidR="00974D96" w:rsidRPr="00023313">
        <w:trPr>
          <w:trHeight w:val="33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335EFA" w:rsidP="00B93D77">
            <w:pPr>
              <w:ind w:left="81"/>
              <w:rPr>
                <w:sz w:val="20"/>
                <w:szCs w:val="20"/>
                <w:lang w:val="sr-Cyrl-RS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</w:t>
            </w:r>
            <w:r w:rsidR="00B93D77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D707B0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93D77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D707B0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707B0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26</w:t>
            </w:r>
          </w:p>
        </w:tc>
      </w:tr>
      <w:tr w:rsidR="00974D96" w:rsidRPr="0002331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D707B0" w:rsidP="00D707B0">
            <w:pPr>
              <w:ind w:right="10"/>
              <w:jc w:val="center"/>
              <w:rPr>
                <w:sz w:val="20"/>
                <w:szCs w:val="20"/>
                <w:lang w:val="sr-Cyrl-RS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95662C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974D96" w:rsidRPr="0002331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95662C" w:rsidP="00D707B0">
            <w:pPr>
              <w:ind w:right="10"/>
              <w:jc w:val="center"/>
              <w:rPr>
                <w:sz w:val="20"/>
                <w:szCs w:val="20"/>
                <w:lang w:val="sr-Cyrl-RS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707B0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D707B0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</w:t>
            </w:r>
          </w:p>
        </w:tc>
      </w:tr>
      <w:tr w:rsidR="00974D96" w:rsidRPr="0002331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D707B0" w:rsidP="00D707B0">
            <w:pPr>
              <w:ind w:right="10"/>
              <w:jc w:val="center"/>
              <w:rPr>
                <w:sz w:val="20"/>
                <w:szCs w:val="20"/>
                <w:lang w:val="sr-Cyrl-RS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5662C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974D96" w:rsidRPr="0002331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4F202A">
            <w:pPr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023313" w:rsidRDefault="00D707B0" w:rsidP="00335EFA">
            <w:pPr>
              <w:ind w:right="13"/>
              <w:jc w:val="center"/>
              <w:rPr>
                <w:sz w:val="20"/>
                <w:szCs w:val="20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F202A" w:rsidRPr="0002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мање</w:t>
            </w:r>
          </w:p>
        </w:tc>
      </w:tr>
    </w:tbl>
    <w:p w:rsidR="005F5F55" w:rsidRPr="00023313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5F55" w:rsidRPr="00023313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5F55" w:rsidRPr="00023313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5F55" w:rsidRPr="00023313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D96" w:rsidRPr="00023313" w:rsidRDefault="004F202A">
      <w:pPr>
        <w:spacing w:after="38"/>
        <w:ind w:left="-5" w:hanging="10"/>
        <w:rPr>
          <w:sz w:val="20"/>
          <w:szCs w:val="20"/>
        </w:rPr>
      </w:pP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ПРИСУТНО ЛИЦЕ                                                            </w:t>
      </w:r>
      <w:r w:rsidR="000D2B65" w:rsidRPr="0002331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E4B64" w:rsidRPr="0002331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96F5B" w:rsidRPr="0002331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РЕПУБЛИЧКИ </w:t>
      </w:r>
    </w:p>
    <w:p w:rsidR="00974D96" w:rsidRPr="00023313" w:rsidRDefault="000D2B65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  <w:rPr>
          <w:sz w:val="20"/>
          <w:szCs w:val="20"/>
        </w:rPr>
      </w:pP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E4B64" w:rsidRPr="0002331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    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="007E4B64"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КОМУНАЛН</w:t>
      </w:r>
      <w:r w:rsidR="007E4B64" w:rsidRPr="0002331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И</w:t>
      </w:r>
      <w:r w:rsidR="004F202A"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ИНСПЕКТОР  </w:t>
      </w:r>
      <w:r w:rsidR="004F202A" w:rsidRPr="000233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74D96" w:rsidRPr="00023313" w:rsidRDefault="004F202A" w:rsidP="00EC183B">
      <w:pPr>
        <w:spacing w:after="158"/>
        <w:rPr>
          <w:sz w:val="20"/>
          <w:szCs w:val="20"/>
        </w:rPr>
      </w:pPr>
      <w:r w:rsidRPr="0002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3313">
        <w:rPr>
          <w:rFonts w:ascii="Times New Roman" w:hAnsi="Times New Roman" w:cs="Times New Roman"/>
          <w:b/>
          <w:sz w:val="20"/>
          <w:szCs w:val="20"/>
        </w:rPr>
        <w:t>____________________                       М.П.</w:t>
      </w:r>
      <w:r w:rsidRPr="00023313">
        <w:rPr>
          <w:sz w:val="20"/>
          <w:szCs w:val="20"/>
        </w:rPr>
        <w:t xml:space="preserve">                  </w:t>
      </w:r>
      <w:r w:rsidR="00C96F5B" w:rsidRPr="00023313">
        <w:rPr>
          <w:sz w:val="20"/>
          <w:szCs w:val="20"/>
        </w:rPr>
        <w:t xml:space="preserve">      </w:t>
      </w:r>
      <w:r w:rsidRPr="00023313">
        <w:rPr>
          <w:sz w:val="20"/>
          <w:szCs w:val="20"/>
        </w:rPr>
        <w:t xml:space="preserve">        __________________________ </w:t>
      </w:r>
    </w:p>
    <w:sectPr w:rsidR="00974D96" w:rsidRPr="00023313" w:rsidSect="00F45225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11" w:rsidRDefault="00555811" w:rsidP="002A5D49">
      <w:pPr>
        <w:spacing w:after="0" w:line="240" w:lineRule="auto"/>
      </w:pPr>
      <w:r>
        <w:separator/>
      </w:r>
    </w:p>
  </w:endnote>
  <w:endnote w:type="continuationSeparator" w:id="0">
    <w:p w:rsidR="00555811" w:rsidRDefault="00555811" w:rsidP="002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11" w:rsidRDefault="00555811" w:rsidP="002A5D49">
      <w:pPr>
        <w:spacing w:after="0" w:line="240" w:lineRule="auto"/>
      </w:pPr>
      <w:r>
        <w:separator/>
      </w:r>
    </w:p>
  </w:footnote>
  <w:footnote w:type="continuationSeparator" w:id="0">
    <w:p w:rsidR="00555811" w:rsidRDefault="00555811" w:rsidP="002A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62B"/>
    <w:multiLevelType w:val="hybridMultilevel"/>
    <w:tmpl w:val="2AFA1296"/>
    <w:lvl w:ilvl="0" w:tplc="8F4CDD7A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223"/>
    <w:multiLevelType w:val="hybridMultilevel"/>
    <w:tmpl w:val="EB1AF79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623"/>
    <w:multiLevelType w:val="hybridMultilevel"/>
    <w:tmpl w:val="F770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5D7"/>
    <w:multiLevelType w:val="hybridMultilevel"/>
    <w:tmpl w:val="C2BAFEFC"/>
    <w:lvl w:ilvl="0" w:tplc="4874E348">
      <w:start w:val="2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DB2982"/>
    <w:multiLevelType w:val="hybridMultilevel"/>
    <w:tmpl w:val="1A0A45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2E292B"/>
    <w:multiLevelType w:val="hybridMultilevel"/>
    <w:tmpl w:val="4DB203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7693CF9"/>
    <w:multiLevelType w:val="hybridMultilevel"/>
    <w:tmpl w:val="AEAECEAC"/>
    <w:lvl w:ilvl="0" w:tplc="545E02B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354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4A2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73D6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D3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D0A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928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F5A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D80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0F35D1"/>
    <w:multiLevelType w:val="hybridMultilevel"/>
    <w:tmpl w:val="B1C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674E2"/>
    <w:multiLevelType w:val="hybridMultilevel"/>
    <w:tmpl w:val="6FAC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5558"/>
    <w:multiLevelType w:val="hybridMultilevel"/>
    <w:tmpl w:val="9D94B79E"/>
    <w:lvl w:ilvl="0" w:tplc="B2A621F6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A377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F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C9B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DC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38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B2C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9D88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39D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8771A7"/>
    <w:multiLevelType w:val="hybridMultilevel"/>
    <w:tmpl w:val="9B3CCA72"/>
    <w:lvl w:ilvl="0" w:tplc="B9E665B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60C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7A8F"/>
    <w:multiLevelType w:val="hybridMultilevel"/>
    <w:tmpl w:val="448C207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A953A6"/>
    <w:multiLevelType w:val="hybridMultilevel"/>
    <w:tmpl w:val="0582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5CF0"/>
    <w:multiLevelType w:val="hybridMultilevel"/>
    <w:tmpl w:val="72F80FD6"/>
    <w:lvl w:ilvl="0" w:tplc="D7A0C384">
      <w:start w:val="1"/>
      <w:numFmt w:val="lowerLetter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964A">
      <w:start w:val="1"/>
      <w:numFmt w:val="lowerLetter"/>
      <w:lvlText w:val="%2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42C">
      <w:start w:val="1"/>
      <w:numFmt w:val="lowerRoman"/>
      <w:lvlText w:val="%3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C89C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0AC24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8FE2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9DE0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958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2B66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1E333B"/>
    <w:multiLevelType w:val="hybridMultilevel"/>
    <w:tmpl w:val="2058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782A"/>
    <w:multiLevelType w:val="hybridMultilevel"/>
    <w:tmpl w:val="B4AA96AE"/>
    <w:lvl w:ilvl="0" w:tplc="36DCD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F650B2C"/>
    <w:multiLevelType w:val="hybridMultilevel"/>
    <w:tmpl w:val="559E04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30B4B"/>
    <w:multiLevelType w:val="hybridMultilevel"/>
    <w:tmpl w:val="CF2C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32B58"/>
    <w:multiLevelType w:val="hybridMultilevel"/>
    <w:tmpl w:val="76C2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A2267"/>
    <w:multiLevelType w:val="hybridMultilevel"/>
    <w:tmpl w:val="ADC27508"/>
    <w:lvl w:ilvl="0" w:tplc="57082382">
      <w:start w:val="15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3CF4CA5"/>
    <w:multiLevelType w:val="hybridMultilevel"/>
    <w:tmpl w:val="BA341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97902"/>
    <w:multiLevelType w:val="hybridMultilevel"/>
    <w:tmpl w:val="0638F2CC"/>
    <w:lvl w:ilvl="0" w:tplc="2C784042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012A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8A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90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027E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4399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7AA4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7C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6EA6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010014"/>
    <w:multiLevelType w:val="hybridMultilevel"/>
    <w:tmpl w:val="3BE4E282"/>
    <w:lvl w:ilvl="0" w:tplc="5ACCDBC6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EBF4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54F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8987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C6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E2908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AFAA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773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D5C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7004D9"/>
    <w:multiLevelType w:val="hybridMultilevel"/>
    <w:tmpl w:val="DB96C884"/>
    <w:lvl w:ilvl="0" w:tplc="D9AC1A22">
      <w:start w:val="1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ED23E68"/>
    <w:multiLevelType w:val="hybridMultilevel"/>
    <w:tmpl w:val="D7D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C159E"/>
    <w:multiLevelType w:val="hybridMultilevel"/>
    <w:tmpl w:val="1936883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27E12"/>
    <w:multiLevelType w:val="hybridMultilevel"/>
    <w:tmpl w:val="84C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F5C78"/>
    <w:multiLevelType w:val="hybridMultilevel"/>
    <w:tmpl w:val="E194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663A8"/>
    <w:multiLevelType w:val="hybridMultilevel"/>
    <w:tmpl w:val="B0BCB30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 w15:restartNumberingAfterBreak="0">
    <w:nsid w:val="7E777B63"/>
    <w:multiLevelType w:val="hybridMultilevel"/>
    <w:tmpl w:val="B0C271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FC03263"/>
    <w:multiLevelType w:val="hybridMultilevel"/>
    <w:tmpl w:val="84D2FAF0"/>
    <w:lvl w:ilvl="0" w:tplc="50064D30">
      <w:start w:val="1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6"/>
  </w:num>
  <w:num w:numId="5">
    <w:abstractNumId w:val="23"/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19"/>
  </w:num>
  <w:num w:numId="11">
    <w:abstractNumId w:val="4"/>
  </w:num>
  <w:num w:numId="12">
    <w:abstractNumId w:val="21"/>
  </w:num>
  <w:num w:numId="13">
    <w:abstractNumId w:val="0"/>
  </w:num>
  <w:num w:numId="14">
    <w:abstractNumId w:val="31"/>
  </w:num>
  <w:num w:numId="15">
    <w:abstractNumId w:val="5"/>
  </w:num>
  <w:num w:numId="16">
    <w:abstractNumId w:val="7"/>
  </w:num>
  <w:num w:numId="17">
    <w:abstractNumId w:val="28"/>
  </w:num>
  <w:num w:numId="18">
    <w:abstractNumId w:val="10"/>
  </w:num>
  <w:num w:numId="19">
    <w:abstractNumId w:val="30"/>
  </w:num>
  <w:num w:numId="20">
    <w:abstractNumId w:val="12"/>
  </w:num>
  <w:num w:numId="21">
    <w:abstractNumId w:val="13"/>
  </w:num>
  <w:num w:numId="22">
    <w:abstractNumId w:val="27"/>
  </w:num>
  <w:num w:numId="23">
    <w:abstractNumId w:val="18"/>
  </w:num>
  <w:num w:numId="24">
    <w:abstractNumId w:val="17"/>
  </w:num>
  <w:num w:numId="25">
    <w:abstractNumId w:val="22"/>
  </w:num>
  <w:num w:numId="26">
    <w:abstractNumId w:val="26"/>
  </w:num>
  <w:num w:numId="27">
    <w:abstractNumId w:val="1"/>
  </w:num>
  <w:num w:numId="28">
    <w:abstractNumId w:val="29"/>
  </w:num>
  <w:num w:numId="29">
    <w:abstractNumId w:val="2"/>
  </w:num>
  <w:num w:numId="30">
    <w:abstractNumId w:val="16"/>
  </w:num>
  <w:num w:numId="31">
    <w:abstractNumId w:val="3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6"/>
    <w:rsid w:val="00023313"/>
    <w:rsid w:val="00044905"/>
    <w:rsid w:val="00076541"/>
    <w:rsid w:val="000D2B65"/>
    <w:rsid w:val="000F3BE7"/>
    <w:rsid w:val="001C6290"/>
    <w:rsid w:val="001D47A4"/>
    <w:rsid w:val="00231AC6"/>
    <w:rsid w:val="00244DAB"/>
    <w:rsid w:val="002A5D49"/>
    <w:rsid w:val="0030007F"/>
    <w:rsid w:val="00335EFA"/>
    <w:rsid w:val="00367707"/>
    <w:rsid w:val="003F09F3"/>
    <w:rsid w:val="00441071"/>
    <w:rsid w:val="004634F1"/>
    <w:rsid w:val="00472121"/>
    <w:rsid w:val="0047530E"/>
    <w:rsid w:val="004F202A"/>
    <w:rsid w:val="005020D0"/>
    <w:rsid w:val="00555811"/>
    <w:rsid w:val="00561227"/>
    <w:rsid w:val="00592570"/>
    <w:rsid w:val="005F5F55"/>
    <w:rsid w:val="00624BD1"/>
    <w:rsid w:val="00642B07"/>
    <w:rsid w:val="00660B1E"/>
    <w:rsid w:val="006A374B"/>
    <w:rsid w:val="006A472D"/>
    <w:rsid w:val="006A589A"/>
    <w:rsid w:val="006D1B58"/>
    <w:rsid w:val="00724812"/>
    <w:rsid w:val="00796810"/>
    <w:rsid w:val="007B6574"/>
    <w:rsid w:val="007E4B64"/>
    <w:rsid w:val="007F2A66"/>
    <w:rsid w:val="00810C92"/>
    <w:rsid w:val="00814BD5"/>
    <w:rsid w:val="00857398"/>
    <w:rsid w:val="008B61E2"/>
    <w:rsid w:val="008F3BDF"/>
    <w:rsid w:val="00900249"/>
    <w:rsid w:val="00910692"/>
    <w:rsid w:val="009314D8"/>
    <w:rsid w:val="00952489"/>
    <w:rsid w:val="0095662C"/>
    <w:rsid w:val="00961004"/>
    <w:rsid w:val="00974D96"/>
    <w:rsid w:val="009C5887"/>
    <w:rsid w:val="00A127CC"/>
    <w:rsid w:val="00A64C4E"/>
    <w:rsid w:val="00AA3BE8"/>
    <w:rsid w:val="00AC146E"/>
    <w:rsid w:val="00AD113F"/>
    <w:rsid w:val="00B637AF"/>
    <w:rsid w:val="00B93D77"/>
    <w:rsid w:val="00C96F5B"/>
    <w:rsid w:val="00CA1526"/>
    <w:rsid w:val="00D31125"/>
    <w:rsid w:val="00D707B0"/>
    <w:rsid w:val="00DE3FEF"/>
    <w:rsid w:val="00E0207C"/>
    <w:rsid w:val="00E3536B"/>
    <w:rsid w:val="00E53658"/>
    <w:rsid w:val="00EC183B"/>
    <w:rsid w:val="00EC79FE"/>
    <w:rsid w:val="00F45225"/>
    <w:rsid w:val="00F47D97"/>
    <w:rsid w:val="00F703E9"/>
    <w:rsid w:val="00F91D78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8A1E-6C9A-4873-90F3-3CF290D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8FA4-1EBC-46FC-83E2-9E6037D7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26</cp:revision>
  <cp:lastPrinted>2017-07-08T09:38:00Z</cp:lastPrinted>
  <dcterms:created xsi:type="dcterms:W3CDTF">2017-05-09T16:12:00Z</dcterms:created>
  <dcterms:modified xsi:type="dcterms:W3CDTF">2017-07-08T13:58:00Z</dcterms:modified>
</cp:coreProperties>
</file>