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3" w:rsidRDefault="004B19F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5" w:type="dxa"/>
          <w:right w:w="27" w:type="dxa"/>
        </w:tblCellMar>
        <w:tblLook w:val="04A0" w:firstRow="1" w:lastRow="0" w:firstColumn="1" w:lastColumn="0" w:noHBand="0" w:noVBand="1"/>
      </w:tblPr>
      <w:tblGrid>
        <w:gridCol w:w="4425"/>
        <w:gridCol w:w="1670"/>
        <w:gridCol w:w="915"/>
        <w:gridCol w:w="372"/>
        <w:gridCol w:w="372"/>
        <w:gridCol w:w="370"/>
        <w:gridCol w:w="375"/>
        <w:gridCol w:w="516"/>
        <w:gridCol w:w="6"/>
      </w:tblGrid>
      <w:tr w:rsidR="003E47F3" w:rsidTr="0033131D">
        <w:trPr>
          <w:gridAfter w:val="1"/>
          <w:wAfter w:w="6" w:type="dxa"/>
          <w:trHeight w:val="281"/>
        </w:trPr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7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117CA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</w:tr>
      <w:tr w:rsidR="003E47F3" w:rsidTr="0033131D">
        <w:trPr>
          <w:gridAfter w:val="1"/>
          <w:wAfter w:w="6" w:type="dxa"/>
          <w:trHeight w:val="302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4B19F7">
            <w:pPr>
              <w:ind w:left="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41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47F3" w:rsidRPr="0033131D" w:rsidRDefault="004B19F7">
            <w:pPr>
              <w:ind w:left="121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33131D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3131D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47F3" w:rsidRPr="0033131D" w:rsidRDefault="004B19F7">
            <w:pPr>
              <w:spacing w:after="20"/>
              <w:ind w:left="127"/>
              <w:jc w:val="center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3131D" w:rsidRPr="00300030" w:rsidRDefault="004B19F7" w:rsidP="003313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33131D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3E47F3" w:rsidRDefault="0033131D" w:rsidP="0033131D">
            <w:pPr>
              <w:ind w:left="74" w:right="4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4B19F7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  <w:p w:rsidR="003E47F3" w:rsidRDefault="004B19F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3E47F3" w:rsidRDefault="004B19F7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31D" w:rsidRDefault="0033131D" w:rsidP="0033131D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3E47F3" w:rsidRDefault="0033131D" w:rsidP="0033131D">
            <w:pPr>
              <w:ind w:left="26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3E47F3" w:rsidTr="0033131D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7F3" w:rsidRDefault="004B19F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40010A">
        <w:trPr>
          <w:gridAfter w:val="1"/>
          <w:wAfter w:w="6" w:type="dxa"/>
          <w:trHeight w:val="69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33131D">
            <w:pPr>
              <w:ind w:left="5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осветљења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3E47F3" w:rsidRDefault="004B19F7" w:rsidP="0033131D">
            <w:pPr>
              <w:ind w:left="5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33131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33131D" w:rsidTr="0040010A">
        <w:trPr>
          <w:gridAfter w:val="1"/>
          <w:wAfter w:w="6" w:type="dxa"/>
          <w:trHeight w:val="69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33131D" w:rsidP="0033131D">
            <w:pPr>
              <w:ind w:left="5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2. Да ли се у оквиру комуналне делатности обезбеђивања јавног осветљења врши:</w:t>
            </w:r>
          </w:p>
          <w:p w:rsidR="0033131D" w:rsidRPr="0033131D" w:rsidRDefault="0033131D" w:rsidP="00331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Одржавање, адаптација и унапређење објеката и инсталација јавног осветљења којима се осветљавају и друге површине јавне намене?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31D" w:rsidRDefault="0033131D" w:rsidP="0033131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3E47F3" w:rsidTr="0040010A">
        <w:trPr>
          <w:gridAfter w:val="1"/>
          <w:wAfter w:w="6" w:type="dxa"/>
          <w:trHeight w:val="88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33131D" w:rsidP="0033131D">
            <w:pPr>
              <w:ind w:left="565" w:right="8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осветљења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8D7504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3E47F3" w:rsidRDefault="004B19F7" w:rsidP="0033131D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 w:rsidR="008D7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7504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8D7504" w:rsidRDefault="008D7504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3E47F3" w:rsidRDefault="003E47F3" w:rsidP="0033131D">
            <w:pPr>
              <w:ind w:left="108"/>
              <w:jc w:val="both"/>
            </w:pPr>
          </w:p>
        </w:tc>
      </w:tr>
      <w:tr w:rsidR="003E47F3" w:rsidTr="0033131D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49BD" w:rsidRDefault="004B19F7" w:rsidP="00C349BD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C349BD" w:rsidP="00C349BD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</w:tc>
      </w:tr>
      <w:tr w:rsidR="0033131D" w:rsidTr="0031022D">
        <w:trPr>
          <w:gridAfter w:val="1"/>
          <w:wAfter w:w="6" w:type="dxa"/>
          <w:trHeight w:val="748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9468D0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3131D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31D" w:rsidRDefault="0033131D" w:rsidP="0033131D">
            <w:pPr>
              <w:ind w:left="107" w:right="54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3E47F3" w:rsidTr="0040010A">
        <w:trPr>
          <w:gridAfter w:val="1"/>
          <w:wAfter w:w="6" w:type="dxa"/>
          <w:trHeight w:val="67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468D0" w:rsidP="0033131D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226D4F">
              <w:rPr>
                <w:rFonts w:ascii="Times New Roman" w:eastAsia="Times New Roman" w:hAnsi="Times New Roman" w:cs="Times New Roman"/>
                <w:sz w:val="24"/>
              </w:rPr>
              <w:t>амоуправе</w:t>
            </w:r>
            <w:proofErr w:type="spellEnd"/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6D4F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6D4F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6D4F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6D4F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33131D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E47F3" w:rsidTr="0040010A">
        <w:trPr>
          <w:gridAfter w:val="1"/>
          <w:wAfter w:w="6" w:type="dxa"/>
          <w:trHeight w:val="159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468D0" w:rsidP="008D7504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E47F3" w:rsidRPr="008D7504" w:rsidRDefault="004B19F7" w:rsidP="008D7504">
            <w:pPr>
              <w:pStyle w:val="ListParagraph"/>
              <w:numPr>
                <w:ilvl w:val="0"/>
                <w:numId w:val="3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17"/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21"/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9468D0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47F3" w:rsidRDefault="008D7504" w:rsidP="008D7504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40010A">
        <w:trPr>
          <w:gridAfter w:val="1"/>
          <w:wAfter w:w="6" w:type="dxa"/>
          <w:trHeight w:val="153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0010A" w:rsidP="008D7504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r w:rsidR="008D7504" w:rsidRPr="008D750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обезбеђење јавног осветљења, неком привредном субјекту, да ли је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E47F3" w:rsidRDefault="008D7504" w:rsidP="008D7504">
            <w:pPr>
              <w:pStyle w:val="ListParagraph"/>
              <w:numPr>
                <w:ilvl w:val="0"/>
                <w:numId w:val="4"/>
              </w:numPr>
              <w:spacing w:after="24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длуке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68D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8D7504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504" w:rsidRDefault="008D7504" w:rsidP="008D7504">
            <w:pPr>
              <w:ind w:left="108"/>
              <w:jc w:val="both"/>
            </w:pP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3E47F3" w:rsidRDefault="003E47F3" w:rsidP="008D7504">
            <w:pPr>
              <w:ind w:left="108"/>
              <w:jc w:val="both"/>
            </w:pPr>
          </w:p>
        </w:tc>
      </w:tr>
      <w:tr w:rsidR="00D21353" w:rsidTr="00D21353">
        <w:trPr>
          <w:gridAfter w:val="1"/>
          <w:wAfter w:w="6" w:type="dxa"/>
          <w:trHeight w:val="68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C349BD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</w:t>
            </w:r>
            <w:r w:rsidR="00226D4F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БАВЉАЊА КОМУНАЛНЕ ДЕЛАТНОСТИ ОБЕЗБЕЂИВАЊЕ ЈАВНОГ ОСВЕТЉЕЊА</w:t>
            </w:r>
          </w:p>
        </w:tc>
      </w:tr>
      <w:tr w:rsidR="008D7504" w:rsidTr="0040010A">
        <w:trPr>
          <w:gridAfter w:val="1"/>
          <w:wAfter w:w="6" w:type="dxa"/>
          <w:trHeight w:val="112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40010A" w:rsidP="00D21353">
            <w:pPr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8</w:t>
            </w:r>
            <w:r w:rsidR="00D213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2135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 w:rsidR="00D213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делатности обезбеђења јавног осветљења</w:t>
            </w:r>
            <w:r w:rsidR="00D2135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9468D0" w:rsidP="00D21353">
            <w:pPr>
              <w:ind w:left="65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7504" w:rsidRDefault="008D7504" w:rsidP="00D21353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47F3" w:rsidTr="0033131D">
        <w:trPr>
          <w:gridAfter w:val="1"/>
          <w:wAfter w:w="6" w:type="dxa"/>
          <w:trHeight w:val="65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49BD" w:rsidRDefault="004B19F7" w:rsidP="00C349BD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C349BD" w:rsidP="00C349BD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</w:tc>
      </w:tr>
      <w:tr w:rsidR="003E47F3" w:rsidTr="0040010A">
        <w:trPr>
          <w:gridAfter w:val="1"/>
          <w:wAfter w:w="6" w:type="dxa"/>
          <w:trHeight w:val="116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0010A" w:rsidP="00D21353">
            <w:pPr>
              <w:spacing w:after="5"/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одлукама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осветљења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...?                                                                </w:t>
            </w:r>
          </w:p>
          <w:p w:rsidR="003E47F3" w:rsidRDefault="004B19F7" w:rsidP="00D21353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D21353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4B19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47F3" w:rsidRDefault="004B19F7" w:rsidP="00D21353">
            <w:pPr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0A4BB4">
        <w:trPr>
          <w:gridAfter w:val="1"/>
          <w:wAfter w:w="6" w:type="dxa"/>
          <w:trHeight w:val="116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D21353">
            <w:pPr>
              <w:spacing w:after="2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1353" w:rsidRDefault="0024224D" w:rsidP="00D21353">
            <w:pPr>
              <w:ind w:left="42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осветљења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21353" w:rsidTr="0040010A">
        <w:trPr>
          <w:gridAfter w:val="1"/>
          <w:wAfter w:w="6" w:type="dxa"/>
          <w:trHeight w:val="57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Pr="00D21353" w:rsidRDefault="00D21353" w:rsidP="0040010A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53" w:rsidRDefault="00D21353" w:rsidP="00D21353">
            <w:pPr>
              <w:jc w:val="both"/>
              <w:rPr>
                <w:rFonts w:ascii="Webdings" w:eastAsia="Webdings" w:hAnsi="Webdings" w:cs="Webdings"/>
              </w:rPr>
            </w:pP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Да-4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1353" w:rsidRDefault="00D21353" w:rsidP="00D21353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21353" w:rsidTr="0040010A">
        <w:trPr>
          <w:gridAfter w:val="1"/>
          <w:wAfter w:w="6" w:type="dxa"/>
          <w:trHeight w:val="57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40010A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40010A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4001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40010A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4001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погребне делатности</w:t>
            </w:r>
            <w:r w:rsidR="0040010A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D21353" w:rsidP="0040010A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B19F7" w:rsidTr="0020561F">
        <w:trPr>
          <w:gridAfter w:val="1"/>
          <w:wAfter w:w="6" w:type="dxa"/>
          <w:trHeight w:val="57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C3" w:rsidRDefault="008C67C3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4B19F7" w:rsidRPr="00E77464" w:rsidRDefault="008C67C3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4B19F7" w:rsidRPr="00961004" w:rsidRDefault="004B19F7" w:rsidP="000145B5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</w:t>
            </w:r>
            <w:r w:rsidR="004001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</w:p>
          <w:p w:rsidR="004B19F7" w:rsidRPr="004B19F7" w:rsidRDefault="004B19F7" w:rsidP="004B19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Webdings" w:eastAsia="Webdings" w:hAnsi="Webdings" w:cs="Webdings"/>
              </w:rPr>
            </w:pPr>
            <w:r w:rsidRPr="004B19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4B19F7" w:rsidTr="0040010A">
        <w:trPr>
          <w:gridAfter w:val="1"/>
          <w:wAfter w:w="6" w:type="dxa"/>
          <w:trHeight w:val="57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F7" w:rsidRDefault="008C67C3" w:rsidP="0040010A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4001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400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4001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F7" w:rsidRDefault="004B19F7" w:rsidP="00D21353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40010A" w:rsidTr="00075214">
        <w:trPr>
          <w:gridAfter w:val="1"/>
          <w:wAfter w:w="6" w:type="dxa"/>
          <w:trHeight w:val="57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E7" w:rsidRDefault="00E013E7" w:rsidP="00E013E7">
            <w:pPr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0A" w:rsidRDefault="0040010A" w:rsidP="00E013E7">
            <w:pPr>
              <w:ind w:left="10"/>
              <w:jc w:val="center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ПРОМЕНА ЦЕНА КОМУНАЛНЕ</w:t>
            </w:r>
            <w:r w:rsidRPr="00E9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E967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ЈАВНО ОСВЕТЉЕЊ2</w:t>
            </w:r>
          </w:p>
        </w:tc>
      </w:tr>
      <w:tr w:rsidR="00D21353" w:rsidTr="0040010A">
        <w:trPr>
          <w:trHeight w:val="89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4B19F7" w:rsidP="004B19F7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0010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својим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актом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услове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наплату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накнаде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која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4224D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2422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4224D">
              <w:rPr>
                <w:rFonts w:ascii="Times New Roman" w:eastAsia="Times New Roman" w:hAnsi="Times New Roman" w:cs="Times New Roman"/>
                <w:sz w:val="24"/>
              </w:rPr>
              <w:t>односи</w:t>
            </w:r>
            <w:proofErr w:type="spellEnd"/>
            <w:r w:rsidR="002422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4224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2422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4224D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2422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4224D">
              <w:rPr>
                <w:rFonts w:ascii="Times New Roman" w:eastAsia="Times New Roman" w:hAnsi="Times New Roman" w:cs="Times New Roman"/>
                <w:sz w:val="24"/>
              </w:rPr>
              <w:t>одржава</w:t>
            </w:r>
            <w:proofErr w:type="spellEnd"/>
            <w:r w:rsidR="0024224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ња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осветљења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D21353" w:rsidRDefault="00D21353" w:rsidP="004B19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4B19F7">
            <w:pPr>
              <w:ind w:left="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40010A">
        <w:trPr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4B19F7" w:rsidP="004B19F7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C7DE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Уколико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одговор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претходно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питање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потврдан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49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наплату за јавно осветљење врши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="008049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за дистрибуцију електричне енергије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D21353" w:rsidRDefault="00D21353" w:rsidP="004B19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4B19F7">
            <w:pPr>
              <w:ind w:left="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80499A" w:rsidTr="0040010A">
        <w:trPr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9A" w:rsidRDefault="005C7DE2" w:rsidP="004B19F7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  <w:r w:rsidR="0080499A">
              <w:rPr>
                <w:rFonts w:ascii="Times New Roman" w:eastAsia="Arial" w:hAnsi="Times New Roman" w:cs="Times New Roman"/>
                <w:sz w:val="24"/>
                <w:lang w:val="sr-Cyrl-RS"/>
              </w:rPr>
              <w:t>Д</w:t>
            </w:r>
            <w:r w:rsidR="0080499A" w:rsidRPr="0080499A">
              <w:rPr>
                <w:rFonts w:ascii="Times New Roman" w:eastAsia="Arial" w:hAnsi="Times New Roman" w:cs="Times New Roman"/>
                <w:sz w:val="24"/>
                <w:lang w:val="sr-Cyrl-RS"/>
              </w:rPr>
              <w:t>а ли је јединица локалне самоуправе</w:t>
            </w:r>
            <w:r w:rsidR="0080499A"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="0080499A" w:rsidRPr="0080499A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закључила уговор са предузећем </w:t>
            </w:r>
            <w:r w:rsidR="0080499A" w:rsidRPr="0080499A"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proofErr w:type="spellStart"/>
            <w:r w:rsidR="0080499A" w:rsidRPr="0080499A">
              <w:rPr>
                <w:rFonts w:ascii="Times New Roman" w:eastAsia="Times New Roman" w:hAnsi="Times New Roman" w:cs="Times New Roman"/>
                <w:sz w:val="24"/>
              </w:rPr>
              <w:t>дистрибуцију</w:t>
            </w:r>
            <w:proofErr w:type="spellEnd"/>
            <w:r w:rsidR="0080499A" w:rsidRPr="00804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9A" w:rsidRPr="0080499A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0499A">
              <w:rPr>
                <w:rFonts w:ascii="Times New Roman" w:eastAsia="Times New Roman" w:hAnsi="Times New Roman" w:cs="Times New Roman"/>
                <w:sz w:val="24"/>
              </w:rPr>
              <w:t>лектричне</w:t>
            </w:r>
            <w:proofErr w:type="spellEnd"/>
            <w:r w:rsidR="00804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9A">
              <w:rPr>
                <w:rFonts w:ascii="Times New Roman" w:eastAsia="Times New Roman" w:hAnsi="Times New Roman" w:cs="Times New Roman"/>
                <w:sz w:val="24"/>
              </w:rPr>
              <w:t>енергије</w:t>
            </w:r>
            <w:proofErr w:type="spellEnd"/>
            <w:r w:rsidR="0080499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9A" w:rsidRDefault="005C7DE2" w:rsidP="004B19F7">
            <w:pPr>
              <w:ind w:left="1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</w:tbl>
    <w:p w:rsidR="003E47F3" w:rsidRDefault="004B19F7">
      <w:pPr>
        <w:spacing w:after="0"/>
      </w:pPr>
      <w:r>
        <w:t xml:space="preserve"> </w:t>
      </w:r>
      <w:bookmarkStart w:id="0" w:name="_GoBack"/>
      <w:bookmarkEnd w:id="0"/>
    </w:p>
    <w:p w:rsidR="00F103C3" w:rsidRDefault="004B19F7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</w:t>
      </w:r>
    </w:p>
    <w:p w:rsidR="003E47F3" w:rsidRDefault="00F103C3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</w:t>
      </w:r>
      <w:r w:rsidR="004B19F7">
        <w:rPr>
          <w:rFonts w:ascii="Times New Roman" w:eastAsia="Times New Roman" w:hAnsi="Times New Roman" w:cs="Times New Roman"/>
          <w:b/>
        </w:rPr>
        <w:t xml:space="preserve">  РЕЗУЛТАТ НАДЗОРА У БОДОВИМА</w:t>
      </w:r>
      <w:r w:rsidR="004B19F7">
        <w:rPr>
          <w:rFonts w:ascii="Times New Roman" w:eastAsia="Times New Roman" w:hAnsi="Times New Roman" w:cs="Times New Roman"/>
        </w:rPr>
        <w:t xml:space="preserve">: </w:t>
      </w:r>
    </w:p>
    <w:p w:rsidR="00FE3309" w:rsidRDefault="00FE3309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3E47F3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3E47F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5C7DE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2</w:t>
            </w:r>
            <w:r w:rsidR="005C7DE2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3E47F3" w:rsidRDefault="004B19F7">
      <w:pPr>
        <w:spacing w:after="156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47F3" w:rsidRDefault="004B19F7" w:rsidP="00FE3309">
      <w:pPr>
        <w:spacing w:after="194"/>
        <w:ind w:left="7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3E47F3" w:rsidRDefault="004B19F7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5C7DE2">
            <w:r>
              <w:rPr>
                <w:rFonts w:ascii="Times New Roman" w:eastAsia="Times New Roman" w:hAnsi="Times New Roman" w:cs="Times New Roman"/>
                <w:b/>
              </w:rPr>
              <w:t xml:space="preserve">           2</w:t>
            </w:r>
            <w:r w:rsidR="005C7DE2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5C7DE2">
              <w:rPr>
                <w:rFonts w:ascii="Times New Roman" w:eastAsia="Times New Roman" w:hAnsi="Times New Roman" w:cs="Times New Roman"/>
                <w:b/>
              </w:rPr>
              <w:t>-25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5C7DE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C7DE2"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5C7DE2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5C7DE2" w:rsidP="005C7DE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6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Pr="005C7DE2" w:rsidRDefault="005C7DE2" w:rsidP="005C7DE2">
            <w:pPr>
              <w:ind w:right="10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5C7DE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6 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E47F3" w:rsidRDefault="004B19F7">
      <w:pPr>
        <w:spacing w:after="311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0172F" w:rsidRDefault="0010172F">
      <w:pPr>
        <w:spacing w:after="311"/>
        <w:rPr>
          <w:rFonts w:ascii="Times New Roman" w:eastAsia="Times New Roman" w:hAnsi="Times New Roman" w:cs="Times New Roman"/>
          <w:sz w:val="10"/>
        </w:rPr>
      </w:pPr>
    </w:p>
    <w:p w:rsidR="0010172F" w:rsidRDefault="0010172F">
      <w:pPr>
        <w:spacing w:after="311"/>
      </w:pPr>
    </w:p>
    <w:p w:rsidR="003E47F3" w:rsidRDefault="004B19F7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</w:t>
      </w:r>
      <w:r w:rsidR="008C67C3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="0090444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РЕПУБЛИЧКИ   </w:t>
      </w:r>
    </w:p>
    <w:p w:rsidR="003E47F3" w:rsidRDefault="008C67C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6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="004B19F7">
        <w:rPr>
          <w:rFonts w:ascii="Times New Roman" w:eastAsia="Times New Roman" w:hAnsi="Times New Roman" w:cs="Times New Roman"/>
          <w:b/>
        </w:rPr>
        <w:t>КОМУНАЛН</w:t>
      </w:r>
      <w:r>
        <w:rPr>
          <w:rFonts w:ascii="Times New Roman" w:eastAsia="Times New Roman" w:hAnsi="Times New Roman" w:cs="Times New Roman"/>
          <w:b/>
          <w:lang w:val="sr-Cyrl-RS"/>
        </w:rPr>
        <w:t>И ИНСПЕКТОР</w:t>
      </w:r>
      <w:r w:rsidR="004B19F7">
        <w:rPr>
          <w:rFonts w:ascii="Times New Roman" w:eastAsia="Times New Roman" w:hAnsi="Times New Roman" w:cs="Times New Roman"/>
          <w:b/>
        </w:rPr>
        <w:t xml:space="preserve"> </w:t>
      </w:r>
    </w:p>
    <w:p w:rsidR="003E47F3" w:rsidRPr="0010172F" w:rsidRDefault="004B19F7" w:rsidP="008C67C3">
      <w:pPr>
        <w:spacing w:after="16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0172F">
        <w:rPr>
          <w:rFonts w:ascii="Times New Roman" w:hAnsi="Times New Roman" w:cs="Times New Roman"/>
          <w:b/>
        </w:rPr>
        <w:t xml:space="preserve">____________________                       М.П.                       </w:t>
      </w:r>
      <w:r w:rsidR="00FE3309" w:rsidRPr="0010172F">
        <w:rPr>
          <w:rFonts w:ascii="Times New Roman" w:hAnsi="Times New Roman" w:cs="Times New Roman"/>
          <w:b/>
          <w:lang w:val="sr-Cyrl-RS"/>
        </w:rPr>
        <w:t xml:space="preserve">      </w:t>
      </w:r>
      <w:r w:rsidRPr="0010172F">
        <w:rPr>
          <w:rFonts w:ascii="Times New Roman" w:hAnsi="Times New Roman" w:cs="Times New Roman"/>
          <w:b/>
        </w:rPr>
        <w:t xml:space="preserve"> </w:t>
      </w:r>
      <w:r w:rsidR="008C67C3" w:rsidRPr="0010172F">
        <w:rPr>
          <w:rFonts w:ascii="Times New Roman" w:hAnsi="Times New Roman" w:cs="Times New Roman"/>
          <w:b/>
          <w:lang w:val="sr-Cyrl-RS"/>
        </w:rPr>
        <w:t xml:space="preserve">   </w:t>
      </w:r>
      <w:r w:rsidRPr="0010172F">
        <w:rPr>
          <w:rFonts w:ascii="Times New Roman" w:hAnsi="Times New Roman" w:cs="Times New Roman"/>
          <w:b/>
        </w:rPr>
        <w:t xml:space="preserve">  __________________________ </w:t>
      </w:r>
    </w:p>
    <w:p w:rsidR="003E47F3" w:rsidRDefault="004B19F7">
      <w:pPr>
        <w:spacing w:after="0"/>
      </w:pPr>
      <w:r>
        <w:t xml:space="preserve"> </w:t>
      </w:r>
    </w:p>
    <w:sectPr w:rsidR="003E47F3" w:rsidSect="0010172F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83A"/>
    <w:multiLevelType w:val="hybridMultilevel"/>
    <w:tmpl w:val="61D24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0B2C"/>
    <w:multiLevelType w:val="hybridMultilevel"/>
    <w:tmpl w:val="49F4635E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 w15:restartNumberingAfterBreak="0">
    <w:nsid w:val="58120523"/>
    <w:multiLevelType w:val="hybridMultilevel"/>
    <w:tmpl w:val="30A44A7A"/>
    <w:lvl w:ilvl="0" w:tplc="0409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FEF7447"/>
    <w:multiLevelType w:val="hybridMultilevel"/>
    <w:tmpl w:val="4F3C41F4"/>
    <w:lvl w:ilvl="0" w:tplc="ABF2F9E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D0E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C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756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8CCB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22C6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D7E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A8E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C27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3F70D4"/>
    <w:multiLevelType w:val="hybridMultilevel"/>
    <w:tmpl w:val="678E09E2"/>
    <w:lvl w:ilvl="0" w:tplc="7188091E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E10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21E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F684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FEEC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9E4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E186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B6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CF7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3"/>
    <w:rsid w:val="000145B5"/>
    <w:rsid w:val="0010172F"/>
    <w:rsid w:val="00117CAD"/>
    <w:rsid w:val="00226D4F"/>
    <w:rsid w:val="0024224D"/>
    <w:rsid w:val="0033131D"/>
    <w:rsid w:val="003E47F3"/>
    <w:rsid w:val="0040010A"/>
    <w:rsid w:val="004B19F7"/>
    <w:rsid w:val="005C7DE2"/>
    <w:rsid w:val="0080499A"/>
    <w:rsid w:val="008C67C3"/>
    <w:rsid w:val="008D7504"/>
    <w:rsid w:val="00904449"/>
    <w:rsid w:val="009468D0"/>
    <w:rsid w:val="00C349BD"/>
    <w:rsid w:val="00D21353"/>
    <w:rsid w:val="00E013E7"/>
    <w:rsid w:val="00F103C3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EC55-940E-4F84-A46A-2351078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3131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3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12</cp:revision>
  <dcterms:created xsi:type="dcterms:W3CDTF">2017-05-09T18:13:00Z</dcterms:created>
  <dcterms:modified xsi:type="dcterms:W3CDTF">2018-03-12T12:34:00Z</dcterms:modified>
</cp:coreProperties>
</file>