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CE7A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28. став 2. и члана 29. став 3. Закона о путевима (,,Службени гласник РСˮ, бр. 41/18 и 95/18 – др. закон),</w:t>
      </w:r>
    </w:p>
    <w:p w14:paraId="0F65C36A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4E06699C" w14:textId="77777777" w:rsidR="00A358AA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14:paraId="2EB93DEF" w14:textId="77777777" w:rsidR="000F2FEB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 НАЧИНУ ЕЛЕКТРОНСКЕ НАПЛАТЕ ПУТАРИНЕ, </w:t>
      </w:r>
    </w:p>
    <w:p w14:paraId="24E1081A" w14:textId="77777777" w:rsidR="000F2FEB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ПОСЕБНИМ УСЛОВИМА И ТЕХНИЧКИМ ЗАХТЕВИМА ЗА </w:t>
      </w:r>
    </w:p>
    <w:p w14:paraId="552B4B37" w14:textId="77777777" w:rsidR="000F2FEB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ЕВРОПСКУ ЕЛЕКТРОНСКУ НАПЛАТУ ПУТАРИНЕ И </w:t>
      </w:r>
    </w:p>
    <w:p w14:paraId="670E7709" w14:textId="0386605C" w:rsidR="00A358AA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ЕЛЕМЕНТИМА ИНТЕРОПЕРАБИЛНОСТИ</w:t>
      </w:r>
    </w:p>
    <w:p w14:paraId="36BBD802" w14:textId="77777777" w:rsidR="000F2FEB" w:rsidRPr="000F2FEB" w:rsidRDefault="000F2FEB" w:rsidP="000F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F98DA8" w14:textId="4B55DB18" w:rsidR="00A358AA" w:rsidRDefault="000F2FEB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(,,Службени гласник РС”, број 71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/</w:t>
      </w:r>
      <w:r w:rsidRPr="000F2FE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19)</w:t>
      </w:r>
    </w:p>
    <w:p w14:paraId="020F149D" w14:textId="77777777" w:rsidR="00AD51AE" w:rsidRPr="00AD51AE" w:rsidRDefault="00AD51AE">
      <w:pPr>
        <w:spacing w:after="120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70BC2365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7CA6D0D3" w14:textId="77777777" w:rsidR="00A358AA" w:rsidRPr="000F2FEB" w:rsidRDefault="000F2FEB" w:rsidP="00AD51AE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прописује се начин електронске наплате путарине (у даљем тексту: ЕНП), технички захтеви, посебни услови и елементи интероперабилности које морају испуњавати пружаоци услуге европске електронске наплате путарине (у даљем тексту: ЕЕНП) са седиштем на територији Републике Србије и управљач државног пута.</w:t>
      </w:r>
    </w:p>
    <w:p w14:paraId="26A627AA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4F4C65B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Поједини изрази употребљени у овом правилнику имају следеће значење:</w:t>
      </w:r>
    </w:p>
    <w:p w14:paraId="40E73031" w14:textId="51DC179F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1) Електронска наплата путарине (ЕНП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је модел бесконтактног плаћања путарине употребом уређаја за ЕНП за одговарајућу категорију возила;</w:t>
      </w:r>
    </w:p>
    <w:p w14:paraId="0030944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2) уређај за ЕНП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електронски уређај за плаћање путарине;</w:t>
      </w:r>
    </w:p>
    <w:p w14:paraId="62B63945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3) корисник ЕНП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физичко лице односно правно лице које са управљачем државног пута има закључен уговор о коришћењу ЕНП;</w:t>
      </w:r>
    </w:p>
    <w:p w14:paraId="03BFEA1B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4) овлашћени дистрибутер ЕНП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правно лице које врши дистрибуцију услуге ЕНП у име и за рачун управљача државног пута;</w:t>
      </w:r>
    </w:p>
    <w:p w14:paraId="7484CE1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5) субјекат за наплату путарине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правни субјекат надлежан за наплату путарине;</w:t>
      </w:r>
    </w:p>
    <w:p w14:paraId="25E36914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6)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пријављено тело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тело надлежно за оцењивање усаглашености и погодности за употребу чинилаца интероперабилности и за поступак ЕЗ верификације подсистема према техничким спецификацијама интероперабилности и које је пријављено Европској комисији;</w:t>
      </w:r>
    </w:p>
    <w:p w14:paraId="2042EF9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7)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именовано тело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тело за оцењивање усаглашености и погодности за употребу чинилаца интероперабилности и верификацију структурних подсистема у складу са националним техничким прописима, именованим у складу са законом којим се уређују технички захтеви за производе и оцењивање усаглашености;</w:t>
      </w:r>
    </w:p>
    <w:p w14:paraId="42ED7C9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8)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CEN (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European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Committee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for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Standardization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)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Европски одбор за стандардизацију;</w:t>
      </w:r>
    </w:p>
    <w:p w14:paraId="2BD0C049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9) DSRC (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Dedicated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Short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Range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proofErr w:type="spellStart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Communication</w:t>
      </w:r>
      <w:proofErr w:type="spellEnd"/>
      <w:r w:rsidRPr="000F2FEB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)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систем комуникације кратког домета.</w:t>
      </w:r>
    </w:p>
    <w:p w14:paraId="026D82CB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Члан 3.</w:t>
      </w:r>
    </w:p>
    <w:p w14:paraId="3E3F6A2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Електронски системи за наплату путарине су системи који омогућавају наплаћивање путарине коришћењем најмање једне од следећих технологија: сателитског позиционирања возила, мобилне комуникације које користе GSM-GPRS стандарде (препорука на GSM ТS 03.60/23.060) и комуникацију кратког домета (DSRC) на фреквенцији 5,8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GHz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1D8542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ЕНП спроводи управљач државног пута на начин да се возилима која поседују уређај за ЕНП омогући пролазак посебно означеним саобраћајним тракама без заустављања и употребе готовинског плаћања.</w:t>
      </w:r>
    </w:p>
    <w:p w14:paraId="032141ED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2DEAC7D6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Коришћење уређаја за ЕНП могуће је у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припејд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систему са унапред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уплаћеним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износом допуне на уређај за ЕНП или у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постпејд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систему на основу испостављених рачуна у складу са важећим уговором закљученим између корисника ЕНП и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управљачa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државног пута или овлашћеног дистрибутера.</w:t>
      </w:r>
    </w:p>
    <w:p w14:paraId="23013310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0010C0E3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Корисник ЕНП у затвореном систему наплате путарине региструје се преко уређаја за ЕНП проласком возила кроз улазну и излазну наплатну станицу, посебно обележеном траком за ЕНП.</w:t>
      </w:r>
    </w:p>
    <w:p w14:paraId="1DC4704D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Корисник ЕНП у отвореном систему наплате путарине врши регистровање проласка возила кроз улазно/излазну наплатну станицу, користећи уређај за ЕНП и посебно обележену траку за ЕНП.</w:t>
      </w:r>
    </w:p>
    <w:p w14:paraId="1414F76B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случају недовољно средстава на уређају за ЕНП при доласку на излазну наплатну станицу корисник ЕНП врши допуну средстава искључиво на саобраћајним тракама обележеним за допуну уређаја за ЕНП, у складу са одлуком која уређује висину накнаде за употребу јавног пута, његовог дела или путног објекта.</w:t>
      </w:r>
    </w:p>
    <w:p w14:paraId="036482E4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41FE0F17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Кориснику ЕНП обрачунаће се и наплатити на лицу места или у накнадном поступку најдужа релација одговарајуће деонице, без обзира на место стварног уласка и изласка са аутопута, у зависности од категорије возила, као и трошкови ванредног поступка, у следећим случајевима:</w:t>
      </w:r>
    </w:p>
    <w:p w14:paraId="4A95A9EA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када корисник ЕНП спроведе електронску регистрацију узастопног уласка и изласка на истој наплатној станици, наплата се врши аутоматски, умањењем средстава са уређаја за ЕНП. Уколико корисник ЕНП нема довољно средстава на уређају за ЕНП, у обавези је да изврши допуну уређаја за ЕНП у складу са одлуком која уређује висину накнаде за употребу јавног пута, његовог дела или путног објекта;</w:t>
      </w:r>
    </w:p>
    <w:p w14:paraId="6AA45790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када на уређају за ЕНП не постоји регистрован улаз приликом укључења на аутопут;</w:t>
      </w:r>
    </w:p>
    <w:p w14:paraId="3DC01C2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када на истој наплатној станици корисник ЕНП спроведе електронску регистрацију на више од једне наплатне траке, без инструкција овлашћеног лица ЈП „Путеви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Србијеˮ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E060DF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када корисник ЕНП спроведе електронску регистрацију уређаја за ЕНП без возила на наплатној станици;</w:t>
      </w:r>
    </w:p>
    <w:p w14:paraId="195397BA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када корисник ЕНП спроведе електронску регистрацију преласка станице за наплату путарине возилом чије регистарске ознаке не одговарају подацима са уређаја за ЕНП (осим у случају возила I категорије када је дозвољено коришћење уређаја за ЕНП за више возила исте категорије);</w:t>
      </w:r>
    </w:p>
    <w:p w14:paraId="36F074DE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када се утврди да је приликом подношења рекламације корисник ЕНП дао погрешну информацију о улазној станици;</w:t>
      </w:r>
    </w:p>
    <w:p w14:paraId="41C02843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када се на излазном наплатном месту утврди да је од тренутка уласка на аутопут истекло 24 часа;</w:t>
      </w:r>
    </w:p>
    <w:p w14:paraId="03D5745A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када корисник ЕНП са уређајем за ЕНП дође на канал предвиђен за наплату искључиво путем система магнетне картице, обележен светлосном сигнализацијом.</w:t>
      </w:r>
    </w:p>
    <w:p w14:paraId="2EDD444A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7991891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Технички захтеви које морају испуњавати пружаоци услуге ЕЕНП-е са седиштем на територији Републике Србије и управљач државног пута су:</w:t>
      </w:r>
    </w:p>
    <w:p w14:paraId="5F446E99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уређај за ЕНП којим се врши плаћање путарине у систему ЕЕНП-е, буде у складу са спецификацијом формата и техничким описом за услугу ЕЕНП-е датим у Прилогу 1, који је одштампан уз овај правилник и чини његов саставни део;</w:t>
      </w:r>
    </w:p>
    <w:p w14:paraId="5F53D58C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систем ЕЕНП-е компатибилан са уређајем за ЕНП из тачке 1) овог члана мора омогућити размену података између пружаоца услуге ЕЕНП и управљача државног пута. Формати порука за размену података између пружаоца услуге ЕЕНП-е и управљача државног пута, наведени су у Прилогу 2, који је одштампан уз овај правилник и чини његов саставни део (у даљем тексту: Прилог 2);</w:t>
      </w:r>
    </w:p>
    <w:p w14:paraId="2E344044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техничка опрема за пружање услуге ЕЕНП-е буде компатибилна са елементима интероперабилности из члана 9. овог правилника.</w:t>
      </w:r>
    </w:p>
    <w:p w14:paraId="25923377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74CD2FF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Посебни услови које морају испуњавати пружаоци услуге ЕЕНП-е са седиштем на територији Републике Србије и управљач државног пута су:</w:t>
      </w:r>
    </w:p>
    <w:p w14:paraId="7EB74CA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је правно лице регистровано за обављање делатности организовања система наплате путарине;</w:t>
      </w:r>
    </w:p>
    <w:p w14:paraId="5905C9F0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је код правног лица успостављен стандард SRPS ISO 9001 или њему одговарајући;</w:t>
      </w:r>
    </w:p>
    <w:p w14:paraId="4E20D979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имају усвојен План управљања ризиком који се односи на заштиту информација;</w:t>
      </w:r>
    </w:p>
    <w:p w14:paraId="5D43D644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докажу да имају техничку опрему и декларацију Европске комисије („СЕ”) или сертификат којим потврђује усклађеност компонената интероперабилности наведених у Прилогу 4, који је одштампан уз овај правилник и чини његов саставни део;</w:t>
      </w:r>
    </w:p>
    <w:p w14:paraId="0E7FCA5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докажу способност у пружању услуга електронске наплате путарине или у одговарајућој области.</w:t>
      </w:r>
    </w:p>
    <w:p w14:paraId="57824B10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3C868E63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Елементи интероперабилности за пружање услуге ЕЕНП-е које мора испуњавати управљач државног пута су:</w:t>
      </w:r>
    </w:p>
    <w:p w14:paraId="1111432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ЕНП антена на улазној траци са припадајућом управљачко-процесном јединицом;</w:t>
      </w:r>
    </w:p>
    <w:p w14:paraId="5E4B2608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ЕНП антена на излазној траци са припадајућом управљачко-процесном јединицом;</w:t>
      </w:r>
    </w:p>
    <w:p w14:paraId="03FEF77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видео надзор високог степена поузданости на свим тракама опремљеним ЕНП антенама са припадајућом управљачко процесном јединицом;</w:t>
      </w:r>
    </w:p>
    <w:p w14:paraId="67679186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систем за утврђивање категорије возила на ЕНП траци са припадајућом управљачко-процесном јединицом;</w:t>
      </w:r>
    </w:p>
    <w:p w14:paraId="0B46BBF7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телекомуникациона опрема и инфраструктура потребна за пренос ЕЕНП података унутар информационих система;</w:t>
      </w:r>
    </w:p>
    <w:p w14:paraId="33A5B6FE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сервер за пријем података од пружаоца услуге ЕЕНП, односно за обраду и размену података прикупљених са улазних и излазних ЕНП трака према пружаоцу услуге ЕЕНП-е. Сервер за пријем података мора осигурати размену података са пружаоцем ЕЕНП услуге према техничком опису из Прилога 2. овог правилника;</w:t>
      </w:r>
    </w:p>
    <w:p w14:paraId="7769F3F4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систем за чување и архиву података са роком чувања података у трајању од најмање 3 (три) године од дана настанка трансакције из услуге ЕЕНП-е;</w:t>
      </w:r>
    </w:p>
    <w:p w14:paraId="36C0D4FF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пратећа опрема и инфраструктура која мора осигурати одговарајући степен заштите опреме и апликација које се користе у систему пружања услуге ЕЕНП-е.</w:t>
      </w:r>
    </w:p>
    <w:p w14:paraId="1EB8102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Технички опис и спецификација опреме из става 1. овог члана наведени су у Прилогу 3, који је одштампан уз овај правилник и чини његов саставни део.</w:t>
      </w:r>
    </w:p>
    <w:p w14:paraId="164FA57F" w14:textId="77777777" w:rsidR="00A358AA" w:rsidRPr="000F2FEB" w:rsidRDefault="000F2FE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14:paraId="088CB502" w14:textId="77777777" w:rsidR="00A358AA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Овај правилник ступа на снагу осмог дана од дана објављивања у ,,Службеном гласнику Републике </w:t>
      </w:r>
      <w:proofErr w:type="spellStart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Србијеˮ</w:t>
      </w:r>
      <w:proofErr w:type="spellEnd"/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осим одредаба чл. 7. до 9. овог правилника које се примењују даном приступања Републике Србије Европској унији.</w:t>
      </w:r>
    </w:p>
    <w:p w14:paraId="1908C63A" w14:textId="77777777" w:rsidR="00A358AA" w:rsidRPr="000F2FEB" w:rsidRDefault="000F2FEB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110-00-148/2019-03</w:t>
      </w:r>
    </w:p>
    <w:p w14:paraId="00A950E7" w14:textId="77777777" w:rsidR="00A358AA" w:rsidRPr="000F2FEB" w:rsidRDefault="000F2FEB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27. септембра 2019. године</w:t>
      </w:r>
    </w:p>
    <w:p w14:paraId="7A915960" w14:textId="77777777" w:rsidR="00A358AA" w:rsidRPr="000F2FEB" w:rsidRDefault="000F2FEB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351E9F34" w14:textId="77777777" w:rsidR="00A358AA" w:rsidRPr="000F2FEB" w:rsidRDefault="000F2FEB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0F2FE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p w14:paraId="02D35F17" w14:textId="77777777" w:rsidR="000F2FEB" w:rsidRPr="000F2FEB" w:rsidRDefault="000F2FEB" w:rsidP="00AD51AE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75A6607" w14:textId="77777777" w:rsidR="000F2FEB" w:rsidRPr="000F2FEB" w:rsidRDefault="000F2FEB" w:rsidP="000F2FE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>ПРИЛОГ 1</w:t>
      </w:r>
    </w:p>
    <w:p w14:paraId="420909E3" w14:textId="77777777" w:rsidR="000F2FEB" w:rsidRPr="000F2FEB" w:rsidRDefault="000F2FEB" w:rsidP="000F2FEB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СПЕЦИФИКАЦИЈА ФОРМАТА И ТЕХНИЧКИ ОПИС ЗА УСЛУГУ ЕЕНП</w:t>
      </w:r>
    </w:p>
    <w:p w14:paraId="6FCD2027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Уређај за ЕНП мора бити компатибилан са следећим стандардима и спецификацијама:</w:t>
      </w:r>
    </w:p>
    <w:p w14:paraId="2B577E71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1) CEN DSRC;</w:t>
      </w:r>
    </w:p>
    <w:p w14:paraId="569A7BB5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2) GSS;</w:t>
      </w:r>
    </w:p>
    <w:p w14:paraId="7F88B39B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3) ISO/CEN EFC;</w:t>
      </w:r>
    </w:p>
    <w:p w14:paraId="3A5F2DE1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4) A1, CESARE/PISTA, CARDME,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AutoPASS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;</w:t>
      </w:r>
    </w:p>
    <w:p w14:paraId="706FF238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5) IP67;</w:t>
      </w:r>
    </w:p>
    <w:p w14:paraId="11AC3440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6) EN 15509 SL0/SL1;</w:t>
      </w:r>
    </w:p>
    <w:p w14:paraId="165D2FED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7) RS232 или RS422/RS485 интерфејс;</w:t>
      </w:r>
    </w:p>
    <w:p w14:paraId="1004652D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8) DSRC комуникација: EN 12253:2004, EN 12795:2003, EN 12834:2003, EN 13372:2004, EN 16312, EN 15509, EN ISO 14906:2004, ISO/TS 12813: 2009.</w:t>
      </w:r>
    </w:p>
    <w:p w14:paraId="13AA2D2B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Основне карактеристике:</w:t>
      </w:r>
    </w:p>
    <w:p w14:paraId="0293787B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1) упис и читање трансакција;</w:t>
      </w:r>
    </w:p>
    <w:p w14:paraId="6E81C073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2) могућност истовремене обраде више трансакција;</w:t>
      </w:r>
    </w:p>
    <w:p w14:paraId="02C0FDB6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3) ограничен приступ од стране оператера;</w:t>
      </w:r>
    </w:p>
    <w:p w14:paraId="40D1D1F6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4) контрола и управљање подацима на уређају за ЕНП;</w:t>
      </w:r>
    </w:p>
    <w:p w14:paraId="4C708F9A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5) складиштење трансакција;</w:t>
      </w:r>
    </w:p>
    <w:p w14:paraId="1541F17F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6) звучни сигнал након обављене трансакције.</w:t>
      </w:r>
    </w:p>
    <w:p w14:paraId="1DDA53DB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Заштита података: DES/3-DES алгоритам за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енкрипцију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кључева.</w:t>
      </w:r>
    </w:p>
    <w:p w14:paraId="5BCFAD4F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Гаранција исправности: век трајања минимално седам година.</w:t>
      </w:r>
    </w:p>
    <w:p w14:paraId="493884BE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Архитектура:</w:t>
      </w:r>
    </w:p>
    <w:p w14:paraId="18494D16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1) карактеристике DSRC комуникације:</w:t>
      </w:r>
    </w:p>
    <w:p w14:paraId="4F1EF339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(1) Пасивни RFID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транспондер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</w:t>
      </w:r>
    </w:p>
    <w:p w14:paraId="7165AE51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(2) Учестаност 5.8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GHz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;</w:t>
      </w:r>
    </w:p>
    <w:p w14:paraId="64DD46BF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2) ASIC компоненте:</w:t>
      </w:r>
    </w:p>
    <w:p w14:paraId="17EFE7D4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(1) аналогни струјни модул,</w:t>
      </w:r>
    </w:p>
    <w:p w14:paraId="699D6CB5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(2) дигитални струјни модул,</w:t>
      </w:r>
    </w:p>
    <w:p w14:paraId="57603A89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(3) RISC 32-битни процесор,</w:t>
      </w:r>
    </w:p>
    <w:p w14:paraId="21B2915B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(4) минимално 4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kB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програмске меморије.</w:t>
      </w:r>
    </w:p>
    <w:p w14:paraId="5A7F2600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Температурни услови рада:</w:t>
      </w:r>
    </w:p>
    <w:p w14:paraId="5AE1B4F3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1) температура складиштења +5 °C до +40 °C;</w:t>
      </w:r>
    </w:p>
    <w:p w14:paraId="1FE7BE26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2) радна температура –25 °C до +85 °C.</w:t>
      </w:r>
    </w:p>
    <w:p w14:paraId="1876728D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Напајање:</w:t>
      </w:r>
    </w:p>
    <w:p w14:paraId="13154E49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1) 3V литијумска батерија;</w:t>
      </w:r>
    </w:p>
    <w:p w14:paraId="33690FCD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2) век трајања батерије минимално седам година.</w:t>
      </w:r>
    </w:p>
    <w:p w14:paraId="608FF7AC" w14:textId="77777777" w:rsidR="000F2FEB" w:rsidRPr="000F2FEB" w:rsidRDefault="000F2FEB" w:rsidP="000F2FEB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Интерна структура уређаја за ЕНП</w:t>
      </w:r>
    </w:p>
    <w:p w14:paraId="0E1D7746" w14:textId="06F200C5" w:rsid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DSRC комуникација је заснована на стандарду ЕN 15509. Структура меморије уређаја за ЕНП садржи два елемента: системски и апликациони. Системски елемент садржи податке који су у вези са самим уређајем и не односе се ни на једну посебну апликацију. Апликациони елемент садржи податке у складу са ЕN 15509 стандардом нивоа безбедности 1.</w:t>
      </w:r>
    </w:p>
    <w:p w14:paraId="0D143F44" w14:textId="5CCBD8ED" w:rsidR="00AE4907" w:rsidRDefault="00AE4907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134DE6C0" w14:textId="2E9A20DA" w:rsidR="00AE4907" w:rsidRDefault="00AE4907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69EB2183" w14:textId="7C718204" w:rsidR="00AE4907" w:rsidRDefault="00AE4907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2995D515" w14:textId="77777777" w:rsidR="00AE4907" w:rsidRPr="000F2FEB" w:rsidRDefault="00AE4907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1B758097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Листа атрибута апликационог елемента: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928"/>
        <w:gridCol w:w="3586"/>
        <w:gridCol w:w="806"/>
        <w:gridCol w:w="869"/>
      </w:tblGrid>
      <w:tr w:rsidR="000F2FEB" w:rsidRPr="00AE4907" w14:paraId="63E11C67" w14:textId="77777777" w:rsidTr="000F2FEB">
        <w:trPr>
          <w:tblHeader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D2D14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ID атрибута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B2B7D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Назив атрибута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440F1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Елемент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03F0F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Дужина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3F5D0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Приступ</w:t>
            </w:r>
          </w:p>
        </w:tc>
      </w:tr>
      <w:tr w:rsidR="000F2FEB" w:rsidRPr="00AE4907" w14:paraId="3C1DE98D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0B781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0B71B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Ознака EFC намене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170F8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Провајдер уговора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BBFD9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FC8F9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064A1DF3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A18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D4E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EB4F4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уговора дефинисан од стране провајдера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4C1FF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3F2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6C6A8015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ACE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C12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03E27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proofErr w:type="spellStart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Bерзија</w:t>
            </w:r>
            <w:proofErr w:type="spellEnd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EFC намене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12F5F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158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83D7C6A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C08DA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0637D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Регистарска ознака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98676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Пријављена регистарска ознака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C4AF4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17B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84A86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59D2D087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DAD82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17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A354B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Категорија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F5D6A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Специфична информација провајдера услуге везана за возило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39C81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BF314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66CFCBE4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96B39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18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73AA6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Димензије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5DEEE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Укупна дужина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A26BC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0CBD8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26F69034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E09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D6E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69916E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Укупна висина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11943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96B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377E3888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6CF9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BBC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1098E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Укупна ширина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7C7B6A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115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32CAB10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04B91E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19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E28EBE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Осовине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EE3A4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proofErr w:type="spellStart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Bисина</w:t>
            </w:r>
            <w:proofErr w:type="spellEnd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возила у нивоу прве осовине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3FBEA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081808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358D6009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4D7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BBF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8DF700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Број осовина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D9CE6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1E8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714678D5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BAA133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20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AECAB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Ограничења масе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A3A3C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2CDCB5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6B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BFF03E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54E18F5C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967D2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22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34B880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Специфичне карактеристике возила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3AD2B2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55CADF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8AA4D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1F716ED0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45A76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24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349C6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Идентификациона ознака уређаја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860B78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Идентификациони број уређаја дефинисан од стране произвођача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6D213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A001C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4737880E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B4DF8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26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EF0203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Статус опреме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101C6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Бројач трансакција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1F114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8E5E96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27991A03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6B5C0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29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9B725D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Стање </w:t>
            </w:r>
            <w:proofErr w:type="spellStart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припејд</w:t>
            </w:r>
            <w:proofErr w:type="spellEnd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кредита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331E5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Стање на </w:t>
            </w:r>
            <w:proofErr w:type="spellStart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припејд</w:t>
            </w:r>
            <w:proofErr w:type="spellEnd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рачуну изражено у валути плаћања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E1EDD4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1B83B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5D62164B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87BBB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30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38E7B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Валута плаћања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1D627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Јединица плаћања изражена као умножак или део званичне валуте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566DA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BBA83E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407E1903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FE26F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32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2ABFC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Начин плаћања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0B350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Број личног рачуна (PAN)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6FDB57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E2870D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R/О</w:t>
            </w:r>
          </w:p>
        </w:tc>
      </w:tr>
      <w:tr w:rsidR="000F2FEB" w:rsidRPr="00AE4907" w14:paraId="6C99E35C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5C4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22D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0120F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Рок важења рачуна на уређају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59960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EB5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62DE78BD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253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FB3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C8E66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Контрола употребе уређаја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3B3E6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5D87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015B07B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BCAE25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33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15940B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Подаци о последњој трансакцији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13F5D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Време трансакције (резолуција 2s)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0CBC2C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FD1B8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3A534244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3F9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723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B0BDD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Провајдер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6E794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72C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2653EC9E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FBD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A92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B1C1B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Код локације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6092C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5A6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0586CC4C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37C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809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CC179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Код наплатне траке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B124A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87F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3561947F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256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9C5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6E0352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трансакције</w:t>
            </w: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br/>
              <w:t>(улаз/наплата)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26415E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E92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5BB882B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893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6B2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0219A4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Резултат трансакције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4293B5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2BE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3781C505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B84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7F4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3F0B8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Наплаћена категорија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A9F9F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039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3DDB0C6F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32C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B2B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70BEF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Категорија возила дефинисана на уређају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E5B26C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95B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E7A43E5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C35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78E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42C4A3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Наплаћен износ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292C0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CE6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7F12C138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B996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163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269B0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Провајдер уговора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16C50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2A5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4312EAD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6B5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CFE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0E100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уговора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B89D13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B0F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398483AE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841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D0C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567563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Верзија намене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642F1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33E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1D6FA7B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84B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973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1828D1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Заштитни код трансакције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86BC9D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AA6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474C3B5" w14:textId="77777777" w:rsidTr="000F2FEB"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541B7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34</w:t>
            </w:r>
          </w:p>
        </w:tc>
        <w:tc>
          <w:tcPr>
            <w:tcW w:w="1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8AE46B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Подаци о претпоследњој трансакцији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DB09C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Време трансакције (резолуција 2s)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E1325C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9E3C1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1D5626AF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BFC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45D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E7E4B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Провајдер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3DE12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502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FBC2010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C4A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A2D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7ADF51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Код локације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A024C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EE8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3C7ABD7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F04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FEA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2145B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Код наплатне траке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7C9EE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DAF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74089D0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31D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040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D09B9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трансакције</w:t>
            </w: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br/>
              <w:t>(улаз/наплата)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9ED02D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9A9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89071EE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C1E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D1B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70C51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Резултат трансакције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4640B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ED1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AE72463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AAD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3C8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F1880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Наплаћена категорија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CFD0F3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CA6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27618E94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BD8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125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97A0C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Дефинисана категорија возила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00AD9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60E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43AE6149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7A8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D18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1B625B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Наплаћен износ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D2C8B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9E8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1545C346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141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D01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7E918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Провајдер уговора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8A182D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3B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598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53BF7795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1A7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00E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289EE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уговора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65556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2B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BE9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068D7691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743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5F05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B631B3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Верзија намене при трансакцији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1706D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FA8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7AC7AD30" w14:textId="77777777" w:rsidTr="000F2FEB"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5FA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1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A43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BFAE3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Заштитни код трансакције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8B64D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4B</w:t>
            </w: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BB4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</w:tr>
      <w:tr w:rsidR="000F2FEB" w:rsidRPr="00AE4907" w14:paraId="285A50CC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4BFEF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97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809B8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Тип уговора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DA549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EB1B1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+ 2B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7A0D3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19CF1492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BDA7D1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99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7FD090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Кориснички атрибут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4F7A0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109326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+ 16B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DEE39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1FDA5D24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54D55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107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8A570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Износ упозорења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3AA11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436DA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+ 3B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CD2D8F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R/W</w:t>
            </w:r>
          </w:p>
        </w:tc>
      </w:tr>
      <w:tr w:rsidR="000F2FEB" w:rsidRPr="00AE4907" w14:paraId="09B5D31B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33E6A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111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D244D7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1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BC9BE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B6E12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E8CAB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1A023644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7079C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112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FC2E9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2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D934CC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F4B7B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39EB3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61B60D64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E87D8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113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24B86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3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C313C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DA49E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52EF6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39EEFC54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2C952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114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632BF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4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C99CBE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2FAFA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72CB5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5EBC6EF2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52FFCE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115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B2C3AC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5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D7E64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7AAAAB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63A4F7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141D1A82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F9243C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116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F0085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6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7C8C81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2712B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05FF3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58086BFE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8E96D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117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3C7C2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7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7304A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85A45A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FEE0F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59E33B90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23E56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118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25BE53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8 провере аутентичности апликационог елемента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03385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7943DCF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142BD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4DFC47B8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70D654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120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DB5E9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за приступ апликационом елементу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C9578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52F62DB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5F047B8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58831D2B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582A9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122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65FCE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Кључ за умањење / увећање </w:t>
            </w:r>
            <w:proofErr w:type="spellStart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препаид</w:t>
            </w:r>
            <w:proofErr w:type="spellEnd"/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кредита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A31569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7936B0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+ 8B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33B3B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  <w:tr w:rsidR="000F2FEB" w:rsidRPr="00AE4907" w14:paraId="65D361B7" w14:textId="77777777" w:rsidTr="000F2FE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02EDB6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124</w:t>
            </w:r>
          </w:p>
        </w:tc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06638F5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Кључ за измену начина плаћања (USET)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A3E0A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EF263D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 + 16B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9AC062" w14:textId="77777777" w:rsidR="000F2FEB" w:rsidRPr="00AE4907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AE490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N/A</w:t>
            </w:r>
          </w:p>
        </w:tc>
      </w:tr>
    </w:tbl>
    <w:p w14:paraId="6180B54F" w14:textId="77777777" w:rsidR="000F2FEB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525F71" w14:textId="77777777" w:rsidR="00AE4907" w:rsidRDefault="00AE4907" w:rsidP="000F2FE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</w:p>
    <w:p w14:paraId="695D0F16" w14:textId="77777777" w:rsidR="00AE4907" w:rsidRDefault="00AE4907" w:rsidP="000F2FE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</w:p>
    <w:p w14:paraId="75EB06B1" w14:textId="77777777" w:rsidR="00AE4907" w:rsidRDefault="00AE4907" w:rsidP="000F2FE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</w:p>
    <w:p w14:paraId="0ED569FC" w14:textId="3218A126" w:rsidR="000F2FEB" w:rsidRPr="000F2FEB" w:rsidRDefault="000F2FEB" w:rsidP="000F2FE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>ПРИЛОГ 2</w:t>
      </w:r>
    </w:p>
    <w:p w14:paraId="2C4F97E7" w14:textId="68A78C86" w:rsidR="000F2FEB" w:rsidRPr="000F2FEB" w:rsidRDefault="000F2FEB" w:rsidP="000F2FEB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ФОРМАТИ ПОРУКА ЗА РАЗМЕНУ ПОДАТАКА</w:t>
      </w: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br/>
        <w:t>ИЗМЕЂУ ПРУЖАОЦА УСЛУГЕ ЕЕНП И УПРАВЉАЧА ДРЖАВНОГ ПУТА</w:t>
      </w:r>
    </w:p>
    <w:p w14:paraId="7EC6F167" w14:textId="77777777" w:rsidR="000F2FEB" w:rsidRPr="000F2FEB" w:rsidRDefault="000F2FEB" w:rsidP="000F2FEB">
      <w:pPr>
        <w:spacing w:before="330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04834AF8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Формати поруке за размену података морају бити у складу са ЕН 15509 стандардом. У размену података улази свака трансакција (пролазак возила кроз наплатну траку </w:t>
      </w:r>
      <w:proofErr w:type="spellStart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предвиђену</w:t>
      </w:r>
      <w:proofErr w:type="spellEnd"/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за ЕНП) где је забележен улазак возила на деоницу аутопута или наплата путарине при изласку са деонице аутопута.</w:t>
      </w:r>
    </w:p>
    <w:p w14:paraId="3BDFBB99" w14:textId="77777777" w:rsidR="000F2FEB" w:rsidRPr="000F2FEB" w:rsidRDefault="000F2FEB" w:rsidP="000F2FEB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F2FE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Дефинисана порука је преузета из већ постојећег ЕНП система који је усклађен са европским захтевима ЕНП интероперабилности.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1001"/>
        <w:gridCol w:w="3377"/>
      </w:tblGrid>
      <w:tr w:rsidR="000F2FEB" w:rsidRPr="000F2FEB" w14:paraId="1406DC6A" w14:textId="77777777" w:rsidTr="000F2FEB">
        <w:trPr>
          <w:tblHeader/>
        </w:trPr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12CBC9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Садржај поља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4AD44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Дужина поља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BF6EB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Напомена</w:t>
            </w:r>
          </w:p>
        </w:tc>
      </w:tr>
      <w:tr w:rsidR="000F2FEB" w:rsidRPr="000F2FEB" w14:paraId="228CB35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428CFF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аутопута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227FF36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7675A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ACE36FA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C87CC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станице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866A66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0B3A7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61FAF5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1FEF9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траке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361984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7DAB4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3B76D63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963E1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UTC време као кључ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6D92669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A3887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Формат: UNIH време</w:t>
            </w:r>
          </w:p>
        </w:tc>
      </w:tr>
      <w:tr w:rsidR="000F2FEB" w:rsidRPr="000F2FEB" w14:paraId="721F8B79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EC4A3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Јединствени број текуће трансакције на конкретном ЕНП уређају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E8760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05A88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218061A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369CE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Резултат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2D9B17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A3870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4A530C7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2E0C8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Статус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A40D0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94D24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4BD9D013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11E69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Време трансакције у секундама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CC7A23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A6175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Формат: UNIH време</w:t>
            </w:r>
          </w:p>
        </w:tc>
      </w:tr>
      <w:tr w:rsidR="000F2FEB" w:rsidRPr="000F2FEB" w14:paraId="7069F13C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E104B9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 xml:space="preserve">Време трансакције у </w:t>
            </w:r>
            <w:proofErr w:type="spellStart"/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милисекундама</w:t>
            </w:r>
            <w:proofErr w:type="spellEnd"/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30756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16092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0A5E67D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B58835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државе провајдера уговора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B41DE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1ED5EE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E9589A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C14A43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пружаоца услуге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4AE9E9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FC6AAF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773453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CE897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уговора дефинисан од стране провајдера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7D2E5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467A6B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1227DDDC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32680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Верзија ЕФЦ намене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CDBEB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41A5B2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A94946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76E99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ID произвођача уређаја за ЕНП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ECD159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282EB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F522E9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0DBAD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Земља издавања регистарске таблице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C57CE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55B01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2A02038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ED2197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алфабета регистарске таблице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27D66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59F88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4439B3EC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400E1A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Регистарска ознака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0DCBCC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43B9BF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487B1F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B82EE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Категорија возила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EC9A1A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E0C23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1D7C8243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C31F7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ИD тага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9B87D9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5B78BD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08BF6E27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9DFF0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Статус опреме (бројач трансакција на уређају за ЕНП)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4CD22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28227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69BFD93E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F17AC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уговора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FEF48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F71A7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5E8CBD9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FFE036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 xml:space="preserve">Стање </w:t>
            </w:r>
            <w:proofErr w:type="spellStart"/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припејд</w:t>
            </w:r>
            <w:proofErr w:type="spellEnd"/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 xml:space="preserve"> кредита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D56520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956D3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1E067923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520A3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Валута плаћања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5EE14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F65AC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1BE51EE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962078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Начин плаћања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0C8DC9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C3F043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8A9386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DF080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Рок важења рачуна на уређају за ЕНП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A44411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9B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782314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Формат: GGGGMMDD + NULL карактер</w:t>
            </w:r>
          </w:p>
        </w:tc>
      </w:tr>
      <w:tr w:rsidR="000F2FEB" w:rsidRPr="000F2FEB" w14:paraId="7AE13CA2" w14:textId="77777777" w:rsidTr="000F2FE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E679F3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Подаци о последњој трансакцији</w:t>
            </w:r>
          </w:p>
        </w:tc>
      </w:tr>
      <w:tr w:rsidR="000F2FEB" w:rsidRPr="000F2FEB" w14:paraId="38BCF66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E01F7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Време трансакције (резолуција 2s)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24FC5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15B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F2629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Формат: GGGGMMDDSSMMSS + NULL карактер</w:t>
            </w:r>
          </w:p>
        </w:tc>
      </w:tr>
      <w:tr w:rsidR="000F2FEB" w:rsidRPr="000F2FEB" w14:paraId="2F71F0F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446769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државе при трансакцији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401ACD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C51212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3B2520B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353F9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пружаоца услуге при трансакцији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D56F3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18E913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61C8468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B026F8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аутопута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7D4783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2D52A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68DF8A97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477B6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Смер кретања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569CC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5CA31A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51848A1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D4A23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наплатне станице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60E0C5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9B9A8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1F43F25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B21B5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наплатне траке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CF14D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60810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DDB90A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B3ED6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трансакције (улаз/наплата)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A7A2C5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1C404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D4610B3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48555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Резултат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FED753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977A9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6C5E413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FB7ED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Наплаћена категорија возила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3CDEF5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423E5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3FAC761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6F8718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Категорија возила дефинисана на уређају за ЕНП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28622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4AFDE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DA23ED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BFACE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Наплаћен износ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580901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5E605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1207A9A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50E2F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Валута плаћања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2108E9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5F95E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7F1593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B04053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државе провајдера уговора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490CD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7F33C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66125B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0F9691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пружаоца услуге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41F2A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077D5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0FC4FDB" w14:textId="77777777" w:rsidTr="000F2FEB">
        <w:trPr>
          <w:trHeight w:val="150"/>
        </w:trPr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F18C0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уговора дефинисан од стране провајдера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896474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3A55D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F1B15B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905F3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Верзија ЕФЦ намене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A1DF4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0085D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FFC16D4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1C14E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Заштитни код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95B719D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22394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250C72B6" w14:textId="77777777" w:rsidTr="000F2FE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04D28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Подаци о претпоследњој трансакцији</w:t>
            </w:r>
          </w:p>
        </w:tc>
      </w:tr>
      <w:tr w:rsidR="000F2FEB" w:rsidRPr="000F2FEB" w14:paraId="224FF82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996D6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Време трансакције (резолуција 2s)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071EF3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15B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3B26E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Формат: GGGGMMDDSSMMSS + NULL карактер</w:t>
            </w:r>
          </w:p>
        </w:tc>
      </w:tr>
      <w:tr w:rsidR="000F2FEB" w:rsidRPr="000F2FEB" w14:paraId="66499DAB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0EEFB21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државе при трансакцији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B250578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64F966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2C489FD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32A86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пружаоца услуге при трансакцији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F74285F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63DCF5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BC04A6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929B7E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аутопута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80F1D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CB4FC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7CBEA889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AF2310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Смер кретања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4E84A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74492C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77CCBCF5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54995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наплатне станице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8B64F6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AD20B5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1443C5BE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479F0D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наплатне траке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1999C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2C9B0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F200522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05C2F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трансакције</w:t>
            </w:r>
          </w:p>
          <w:p w14:paraId="03157FB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(улаз/наплата)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AD20864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98CDE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3F7933A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71F0FA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Резултат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36519B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EE57648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Кориснички дефинисана вредност</w:t>
            </w:r>
          </w:p>
        </w:tc>
      </w:tr>
      <w:tr w:rsidR="000F2FEB" w:rsidRPr="000F2FEB" w14:paraId="5E9487C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D8079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Наплаћена категорија возила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9A703F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4F0C37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08803A4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28AE90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Категорија возила дефинисана на уређају за ЕНП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BD8DAC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F0E4A3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208BD800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4963D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Наплаћен износ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879D46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A9576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269FE9ED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EA44F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Валута плаћања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640D05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54647E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03620E4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DDECC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државе провајдера уговора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D0A923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F59BA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7EE89DB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CA3F69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Код пружаоца услуге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EF90E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9623F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F4FC9DE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52B693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Тип уговора дефинисан од стране провајдера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D6FD725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9D659B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521B8CF8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002C5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Верзија EFC намене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B174D2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1B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DB821D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3738FEFE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FBD872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Заштитни код трансакције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AB326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4B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7BA7576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  <w:tr w:rsidR="000F2FEB" w:rsidRPr="000F2FEB" w14:paraId="7E14C0C6" w14:textId="77777777" w:rsidTr="000F2FEB"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9B28EC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Износ који треба наплатити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7DA69E" w14:textId="77777777" w:rsidR="000F2FEB" w:rsidRPr="000F2FEB" w:rsidRDefault="000F2FEB" w:rsidP="000F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  <w:r w:rsidRPr="000F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  <w:t>2B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6E0724" w14:textId="77777777" w:rsidR="000F2FEB" w:rsidRPr="000F2FEB" w:rsidRDefault="000F2FEB" w:rsidP="000F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r-Cyrl-RS" w:eastAsia="en-GB"/>
              </w:rPr>
            </w:pPr>
          </w:p>
        </w:tc>
      </w:tr>
    </w:tbl>
    <w:p w14:paraId="4140CF3F" w14:textId="77777777" w:rsidR="000F2FEB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B46644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287AE0D0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206A6C58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69141573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6CFF6B5A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5990289D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77C6AF3D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06122393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62E43D43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0564ADB7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11CD0D8A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7AC6F565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34741D7D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2D89D9BB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74F01FBB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48627439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2FCFD31C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5CDDB890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796B0E95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11C0ABE1" w14:textId="40FE5E0E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  <w:r w:rsidRPr="000F2FEB">
        <w:rPr>
          <w:b/>
          <w:bCs/>
          <w:color w:val="000000"/>
          <w:lang w:val="sr-Cyrl-RS"/>
        </w:rPr>
        <w:t>ПРИЛОГ 3</w:t>
      </w:r>
    </w:p>
    <w:p w14:paraId="278E8951" w14:textId="77777777" w:rsidR="000F2FEB" w:rsidRPr="000F2FEB" w:rsidRDefault="000F2FEB" w:rsidP="000F2FEB">
      <w:pPr>
        <w:pStyle w:val="clan"/>
        <w:spacing w:before="330" w:beforeAutospacing="0" w:after="120" w:afterAutospacing="0"/>
        <w:ind w:firstLine="480"/>
        <w:jc w:val="center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ТЕХНИЧКИ ОПИС И СПЕЦИФИКАЦИЈА ОПРЕМЕ</w:t>
      </w:r>
    </w:p>
    <w:p w14:paraId="2236B335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ЕНП антена комуницира са уређајем за ЕНП преко </w:t>
      </w:r>
      <w:proofErr w:type="spellStart"/>
      <w:r w:rsidRPr="000F2FEB">
        <w:rPr>
          <w:color w:val="000000"/>
          <w:lang w:val="sr-Cyrl-RS"/>
        </w:rPr>
        <w:t>бидирекционог</w:t>
      </w:r>
      <w:proofErr w:type="spellEnd"/>
      <w:r w:rsidRPr="000F2FEB">
        <w:rPr>
          <w:color w:val="000000"/>
          <w:lang w:val="sr-Cyrl-RS"/>
        </w:rPr>
        <w:t xml:space="preserve"> RF сигнала учестаности 5,8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у складу са следећим DSRC стандардима:</w:t>
      </w:r>
    </w:p>
    <w:p w14:paraId="2785B65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1) CEN DSRC</w:t>
      </w:r>
    </w:p>
    <w:p w14:paraId="4FB2243E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RTTT-DSRC и EFC стандарди:</w:t>
      </w:r>
    </w:p>
    <w:p w14:paraId="00252E2D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(1) EN 12253:2004</w:t>
      </w:r>
    </w:p>
    <w:p w14:paraId="2D692B0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(2) EN 12795:2003</w:t>
      </w:r>
    </w:p>
    <w:p w14:paraId="36A535C4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(3) EN 12834:2003</w:t>
      </w:r>
    </w:p>
    <w:p w14:paraId="7B0C7039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(4) EN 13372:2004</w:t>
      </w:r>
    </w:p>
    <w:p w14:paraId="273A3A9D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(5) EN ISO 14906:2004</w:t>
      </w:r>
    </w:p>
    <w:p w14:paraId="7FE74EE8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(6) GSS</w:t>
      </w:r>
    </w:p>
    <w:p w14:paraId="67CB0B1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ЕНП антена мора да задовољава следеће техничке карактеристике:</w:t>
      </w:r>
    </w:p>
    <w:p w14:paraId="7376936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1) опсег учестаности: 5,795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– 5,815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</w:p>
    <w:p w14:paraId="2700D864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радне учестаности:</w:t>
      </w:r>
    </w:p>
    <w:p w14:paraId="667A3A62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(1) Канал 1: 5.7975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± 2.5 </w:t>
      </w:r>
      <w:proofErr w:type="spellStart"/>
      <w:r w:rsidRPr="000F2FEB">
        <w:rPr>
          <w:color w:val="000000"/>
          <w:lang w:val="sr-Cyrl-RS"/>
        </w:rPr>
        <w:t>MHz</w:t>
      </w:r>
      <w:proofErr w:type="spellEnd"/>
    </w:p>
    <w:p w14:paraId="7A1EBB6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(2) Канал 2: 5.8025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± 2.5 </w:t>
      </w:r>
      <w:proofErr w:type="spellStart"/>
      <w:r w:rsidRPr="000F2FEB">
        <w:rPr>
          <w:color w:val="000000"/>
          <w:lang w:val="sr-Cyrl-RS"/>
        </w:rPr>
        <w:t>MHz</w:t>
      </w:r>
      <w:proofErr w:type="spellEnd"/>
    </w:p>
    <w:p w14:paraId="0809788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(3) Канал 3: 5.8075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± 2.5 </w:t>
      </w:r>
      <w:proofErr w:type="spellStart"/>
      <w:r w:rsidRPr="000F2FEB">
        <w:rPr>
          <w:color w:val="000000"/>
          <w:lang w:val="sr-Cyrl-RS"/>
        </w:rPr>
        <w:t>MHz</w:t>
      </w:r>
      <w:proofErr w:type="spellEnd"/>
    </w:p>
    <w:p w14:paraId="6E60A4FB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(4) Канал 4: 5.8125 </w:t>
      </w:r>
      <w:proofErr w:type="spellStart"/>
      <w:r w:rsidRPr="000F2FEB">
        <w:rPr>
          <w:color w:val="000000"/>
          <w:lang w:val="sr-Cyrl-RS"/>
        </w:rPr>
        <w:t>GHz</w:t>
      </w:r>
      <w:proofErr w:type="spellEnd"/>
      <w:r w:rsidRPr="000F2FEB">
        <w:rPr>
          <w:color w:val="000000"/>
          <w:lang w:val="sr-Cyrl-RS"/>
        </w:rPr>
        <w:t xml:space="preserve"> ± 2.5 </w:t>
      </w:r>
      <w:proofErr w:type="spellStart"/>
      <w:r w:rsidRPr="000F2FEB">
        <w:rPr>
          <w:color w:val="000000"/>
          <w:lang w:val="sr-Cyrl-RS"/>
        </w:rPr>
        <w:t>MHz</w:t>
      </w:r>
      <w:proofErr w:type="spellEnd"/>
    </w:p>
    <w:p w14:paraId="0CA63343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поларизација антене: лево кружна</w:t>
      </w:r>
    </w:p>
    <w:p w14:paraId="5F095167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4) снага зрачења: ≤ 33 </w:t>
      </w:r>
      <w:proofErr w:type="spellStart"/>
      <w:r w:rsidRPr="000F2FEB">
        <w:rPr>
          <w:color w:val="000000"/>
          <w:lang w:val="sr-Cyrl-RS"/>
        </w:rPr>
        <w:t>dBm</w:t>
      </w:r>
      <w:proofErr w:type="spellEnd"/>
      <w:r w:rsidRPr="000F2FEB">
        <w:rPr>
          <w:color w:val="000000"/>
          <w:lang w:val="sr-Cyrl-RS"/>
        </w:rPr>
        <w:t xml:space="preserve"> EIRP</w:t>
      </w:r>
    </w:p>
    <w:p w14:paraId="0384C1E0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5) брзина преноса у </w:t>
      </w:r>
      <w:proofErr w:type="spellStart"/>
      <w:r w:rsidRPr="000F2FEB">
        <w:rPr>
          <w:color w:val="000000"/>
          <w:lang w:val="sr-Cyrl-RS"/>
        </w:rPr>
        <w:t>downlinku</w:t>
      </w:r>
      <w:proofErr w:type="spellEnd"/>
      <w:r w:rsidRPr="000F2FEB">
        <w:rPr>
          <w:color w:val="000000"/>
          <w:lang w:val="sr-Cyrl-RS"/>
        </w:rPr>
        <w:t xml:space="preserve">: 500 </w:t>
      </w:r>
      <w:proofErr w:type="spellStart"/>
      <w:r w:rsidRPr="000F2FEB">
        <w:rPr>
          <w:color w:val="000000"/>
          <w:lang w:val="sr-Cyrl-RS"/>
        </w:rPr>
        <w:t>kbit</w:t>
      </w:r>
      <w:proofErr w:type="spellEnd"/>
      <w:r w:rsidRPr="000F2FEB">
        <w:rPr>
          <w:color w:val="000000"/>
          <w:lang w:val="sr-Cyrl-RS"/>
        </w:rPr>
        <w:t>/s</w:t>
      </w:r>
    </w:p>
    <w:p w14:paraId="170E5F9B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6) брзина преноса у </w:t>
      </w:r>
      <w:proofErr w:type="spellStart"/>
      <w:r w:rsidRPr="000F2FEB">
        <w:rPr>
          <w:color w:val="000000"/>
          <w:lang w:val="sr-Cyrl-RS"/>
        </w:rPr>
        <w:t>uplinku</w:t>
      </w:r>
      <w:proofErr w:type="spellEnd"/>
      <w:r w:rsidRPr="000F2FEB">
        <w:rPr>
          <w:color w:val="000000"/>
          <w:lang w:val="sr-Cyrl-RS"/>
        </w:rPr>
        <w:t xml:space="preserve">: 250 </w:t>
      </w:r>
      <w:proofErr w:type="spellStart"/>
      <w:r w:rsidRPr="000F2FEB">
        <w:rPr>
          <w:color w:val="000000"/>
          <w:lang w:val="sr-Cyrl-RS"/>
        </w:rPr>
        <w:t>kbit</w:t>
      </w:r>
      <w:proofErr w:type="spellEnd"/>
      <w:r w:rsidRPr="000F2FEB">
        <w:rPr>
          <w:color w:val="000000"/>
          <w:lang w:val="sr-Cyrl-RS"/>
        </w:rPr>
        <w:t>/s</w:t>
      </w:r>
    </w:p>
    <w:p w14:paraId="1D767DC0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7) радна температура: –33 °C до +55 °C</w:t>
      </w:r>
    </w:p>
    <w:p w14:paraId="65C2EA5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8) температура складиштења: –40 °C до +70 °C</w:t>
      </w:r>
    </w:p>
    <w:p w14:paraId="01A40EC7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9) ниво заштите: IP67 (IEC 60529)</w:t>
      </w:r>
    </w:p>
    <w:p w14:paraId="0DD7AA9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10) просечно време између отказа: 130.000 сати</w:t>
      </w:r>
    </w:p>
    <w:p w14:paraId="2E43CD3A" w14:textId="77777777" w:rsidR="00AE4907" w:rsidRDefault="00AE4907" w:rsidP="00AE4907">
      <w:pPr>
        <w:pStyle w:val="basic-paragraph"/>
        <w:spacing w:before="0" w:beforeAutospacing="0" w:after="0" w:afterAutospacing="0"/>
        <w:rPr>
          <w:b/>
          <w:bCs/>
          <w:color w:val="000000"/>
          <w:lang w:val="sr-Cyrl-RS"/>
        </w:rPr>
      </w:pPr>
    </w:p>
    <w:p w14:paraId="72C12076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112F1A30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12158229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5289AE06" w14:textId="77777777" w:rsidR="00AE4907" w:rsidRDefault="00AE4907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</w:p>
    <w:p w14:paraId="1E097358" w14:textId="5E2F2ACC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jc w:val="right"/>
        <w:rPr>
          <w:b/>
          <w:bCs/>
          <w:color w:val="000000"/>
          <w:lang w:val="sr-Cyrl-RS"/>
        </w:rPr>
      </w:pPr>
      <w:r w:rsidRPr="000F2FEB">
        <w:rPr>
          <w:b/>
          <w:bCs/>
          <w:color w:val="000000"/>
          <w:lang w:val="sr-Cyrl-RS"/>
        </w:rPr>
        <w:t>ПРИЛОГ 4.</w:t>
      </w:r>
    </w:p>
    <w:p w14:paraId="6B9AC1BF" w14:textId="77777777" w:rsidR="000F2FEB" w:rsidRPr="000F2FEB" w:rsidRDefault="000F2FEB" w:rsidP="000F2FEB">
      <w:pPr>
        <w:pStyle w:val="clan"/>
        <w:spacing w:before="330" w:beforeAutospacing="0" w:after="120" w:afterAutospacing="0"/>
        <w:ind w:firstLine="480"/>
        <w:jc w:val="center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УСКЛАЂИВАЊЕ СА ПРОПИСИМА И ПРИЛАГОЂЕНОСТ ЗА КОРИШЋЕЊЕ КОМПОНЕНТИ ИНТЕРОПЕРАБИЛНОСТИ</w:t>
      </w:r>
    </w:p>
    <w:p w14:paraId="2B07A0DE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ОЦЕЊИВАЊЕ УСАГЛАШЕНОСТИ</w:t>
      </w:r>
    </w:p>
    <w:p w14:paraId="5EB32E74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УСАГЛАШЕНОСТ СА СПЕЦИФИКАЦИЈАМА</w:t>
      </w:r>
    </w:p>
    <w:p w14:paraId="1B09EEC3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Оцењивање усаглашености компоненти са захтевима овог правилника и релевантним техничким спецификацијама, спроводи произвођач компоненти интероперабилности (који се користи у пружању ЕЕНП услуга) или његов овлашћени представник, у складу са посебним законом којим се прописују технички захтеви за производе и оцењивање усаглашености и прописима донетим на основу тог закона.</w:t>
      </w:r>
    </w:p>
    <w:p w14:paraId="6719616A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Као резултат спроведеног поступка оцењивања усаглашености, произвођач компоненти интероперабилности или његов овлашћени представник, сачињава Декларацију о усаглашености са спецификацијама, по прибављању сертификата о прегледу типа од стране именованог/</w:t>
      </w:r>
      <w:proofErr w:type="spellStart"/>
      <w:r w:rsidRPr="000F2FEB">
        <w:rPr>
          <w:color w:val="000000"/>
          <w:lang w:val="sr-Cyrl-RS"/>
        </w:rPr>
        <w:t>нотификованог</w:t>
      </w:r>
      <w:proofErr w:type="spellEnd"/>
      <w:r w:rsidRPr="000F2FEB">
        <w:rPr>
          <w:color w:val="000000"/>
          <w:lang w:val="sr-Cyrl-RS"/>
        </w:rPr>
        <w:t xml:space="preserve"> тела, када је то примењиво.</w:t>
      </w:r>
    </w:p>
    <w:p w14:paraId="53BB10A6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 зависности од одабраног поступка оцењивања усаглашености, Декларација о усаглашености са спецификацијама обухвата оцењивање које спроводи произвођач или именовано/</w:t>
      </w:r>
      <w:proofErr w:type="spellStart"/>
      <w:r w:rsidRPr="000F2FEB">
        <w:rPr>
          <w:color w:val="000000"/>
          <w:lang w:val="sr-Cyrl-RS"/>
        </w:rPr>
        <w:t>нотификовано</w:t>
      </w:r>
      <w:proofErr w:type="spellEnd"/>
      <w:r w:rsidRPr="000F2FEB">
        <w:rPr>
          <w:color w:val="000000"/>
          <w:lang w:val="sr-Cyrl-RS"/>
        </w:rPr>
        <w:t xml:space="preserve"> тело, а према спецификацијама које је потребно испунити.</w:t>
      </w:r>
    </w:p>
    <w:p w14:paraId="4A7A94C9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ПРИЛАГОЂЕНОСТ ЗА КОРИШЋЕЊЕ (ИНТЕРОПЕРАБИЛНОСТ УСЛУГА)</w:t>
      </w:r>
    </w:p>
    <w:p w14:paraId="5BAAACB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Прилагођеност за коришћење компоненти интероперабилности се процењује кроз рад или употребу компоненти у оквиру услуге, које су репрезентативно интегрисане у систем наплате ЕЕНП Субјекта за наплату путарине у чијој надлежности ће бити инсталирана опрема у возилу које ће саобраћати у одређеном временском периоду.</w:t>
      </w:r>
    </w:p>
    <w:p w14:paraId="3DB21166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 циљу обављања таквог испитивања кроз искуство у раду са циљем да се покаже интероперабилност компоненти интероперабилности унутар услуге, произвођач, пружалац услуга ЕЕНП или овлашћени заступник:</w:t>
      </w:r>
    </w:p>
    <w:p w14:paraId="7352531D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(а) сарађују директно са Субјектом за наплату путарине у чијој надлежности ће бити инсталирана опрема у возилу које ће саобраћати.</w:t>
      </w:r>
    </w:p>
    <w:p w14:paraId="384B704E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 овом случају произвођач, пружалац услуга ЕЕНП или овлашћени заступник ће:</w:t>
      </w:r>
    </w:p>
    <w:p w14:paraId="4120220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1) ставити у употребу један (или више) примерака који представљају предвиђени производ;</w:t>
      </w:r>
    </w:p>
    <w:p w14:paraId="08C70BAB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пратити начин рада компоненти интероперабилности путем процедуре коју је Субјекат за наплату путарине усагласио и прегледао;</w:t>
      </w:r>
    </w:p>
    <w:p w14:paraId="57174269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пружити доказ Субјекту који врши наплату путарине да компоненте интероперабилности испуњавају све услове интероперабилности овог Субјекта за наплату путарине;</w:t>
      </w:r>
    </w:p>
    <w:p w14:paraId="325BA530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4) сачинити Декларацију о прилагођености за коришћење, након прибављања Сертификата о прилагођености за коришћење коју обезбеђује Субјекат за наплату путарине. Декларација о прилагођености за коришћење обухвата оцењивање које спроводи субјекат за наплату путарине о прилагођености за коришћење компоненти интероперабилности.</w:t>
      </w:r>
    </w:p>
    <w:p w14:paraId="00DD03A0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Субјекат за наплату путарине ће:</w:t>
      </w:r>
    </w:p>
    <w:p w14:paraId="39E0B4CB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1) се сагласити са програмом за потврђивање исправности кроз искуство током рада;</w:t>
      </w:r>
    </w:p>
    <w:p w14:paraId="7C8494E7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одобрити процедуре за праћење начина рада у оквиру услуга у својој надлежности и вршити посебне провере;</w:t>
      </w:r>
    </w:p>
    <w:p w14:paraId="05516053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проценити интероперабилност током рада у оквиру свог система;</w:t>
      </w:r>
    </w:p>
    <w:p w14:paraId="1DE9141D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4) проверити прилагођеност за коришћење у оквиру своје надлежности у случају успешног начина рада компоненти интероперабилности;</w:t>
      </w:r>
    </w:p>
    <w:p w14:paraId="11B56CB6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(б) или подносе захтев именованом/</w:t>
      </w:r>
      <w:proofErr w:type="spellStart"/>
      <w:r w:rsidRPr="000F2FEB">
        <w:rPr>
          <w:color w:val="000000"/>
          <w:lang w:val="sr-Cyrl-RS"/>
        </w:rPr>
        <w:t>нотификованом</w:t>
      </w:r>
      <w:proofErr w:type="spellEnd"/>
      <w:r w:rsidRPr="000F2FEB">
        <w:rPr>
          <w:color w:val="000000"/>
          <w:lang w:val="sr-Cyrl-RS"/>
        </w:rPr>
        <w:t xml:space="preserve"> телу.</w:t>
      </w:r>
    </w:p>
    <w:p w14:paraId="7818433A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У овом случају, произвођач, пружалац услуга ЕЕНП или овлашћени заступник ће:</w:t>
      </w:r>
    </w:p>
    <w:p w14:paraId="55D8025A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1) ставити у употребу један (или више) примерака који представљају предвиђени производ;</w:t>
      </w:r>
    </w:p>
    <w:p w14:paraId="5ADF215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пратити начин рада компоненти интероперабилности путем процедуре договорене од стране именованог/</w:t>
      </w:r>
      <w:proofErr w:type="spellStart"/>
      <w:r w:rsidRPr="000F2FEB">
        <w:rPr>
          <w:color w:val="000000"/>
          <w:lang w:val="sr-Cyrl-RS"/>
        </w:rPr>
        <w:t>нотификованог</w:t>
      </w:r>
      <w:proofErr w:type="spellEnd"/>
      <w:r w:rsidRPr="000F2FEB">
        <w:rPr>
          <w:color w:val="000000"/>
          <w:lang w:val="sr-Cyrl-RS"/>
        </w:rPr>
        <w:t xml:space="preserve"> тела;</w:t>
      </w:r>
    </w:p>
    <w:p w14:paraId="3D0E0C79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пружити доказ именованом/</w:t>
      </w:r>
      <w:proofErr w:type="spellStart"/>
      <w:r w:rsidRPr="000F2FEB">
        <w:rPr>
          <w:color w:val="000000"/>
          <w:lang w:val="sr-Cyrl-RS"/>
        </w:rPr>
        <w:t>нотификованом</w:t>
      </w:r>
      <w:proofErr w:type="spellEnd"/>
      <w:r w:rsidRPr="000F2FEB">
        <w:rPr>
          <w:color w:val="000000"/>
          <w:lang w:val="sr-Cyrl-RS"/>
        </w:rPr>
        <w:t xml:space="preserve"> телу, да компоненте интероперабилности испуњавају све услове интероперабилности, укључујући добијене резултате током рада;</w:t>
      </w:r>
    </w:p>
    <w:p w14:paraId="5F0154F2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4) сачинити Декларацију о прилагођености за коришћење, након прибављања Сертификата о прилагођености за коришћење именованог/</w:t>
      </w:r>
      <w:proofErr w:type="spellStart"/>
      <w:r w:rsidRPr="000F2FEB">
        <w:rPr>
          <w:color w:val="000000"/>
          <w:lang w:val="sr-Cyrl-RS"/>
        </w:rPr>
        <w:t>нотификованог</w:t>
      </w:r>
      <w:proofErr w:type="spellEnd"/>
      <w:r w:rsidRPr="000F2FEB">
        <w:rPr>
          <w:color w:val="000000"/>
          <w:lang w:val="sr-Cyrl-RS"/>
        </w:rPr>
        <w:t xml:space="preserve"> тела. Декларација о прилагођености за коришћење обухвата оцењивање које спроводи именовано/</w:t>
      </w:r>
      <w:proofErr w:type="spellStart"/>
      <w:r w:rsidRPr="000F2FEB">
        <w:rPr>
          <w:color w:val="000000"/>
          <w:lang w:val="sr-Cyrl-RS"/>
        </w:rPr>
        <w:t>нотификовано</w:t>
      </w:r>
      <w:proofErr w:type="spellEnd"/>
      <w:r w:rsidRPr="000F2FEB">
        <w:rPr>
          <w:color w:val="000000"/>
          <w:lang w:val="sr-Cyrl-RS"/>
        </w:rPr>
        <w:t xml:space="preserve"> тело о прилагођености за коришћење компоненти интероперабилности ЕЕНП-е унутар ЕЕНП услуге одабраног Субјекта, а посебно тамо где се укључене </w:t>
      </w:r>
      <w:proofErr w:type="spellStart"/>
      <w:r w:rsidRPr="000F2FEB">
        <w:rPr>
          <w:color w:val="000000"/>
          <w:lang w:val="sr-Cyrl-RS"/>
        </w:rPr>
        <w:t>интерконекције</w:t>
      </w:r>
      <w:proofErr w:type="spellEnd"/>
      <w:r w:rsidRPr="000F2FEB">
        <w:rPr>
          <w:color w:val="000000"/>
          <w:lang w:val="sr-Cyrl-RS"/>
        </w:rPr>
        <w:t xml:space="preserve"> односе на техничке спецификације, нарочито оне које су функционалне природе, а које треба проверити.</w:t>
      </w:r>
    </w:p>
    <w:p w14:paraId="5124C3B2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Именовано/</w:t>
      </w:r>
      <w:proofErr w:type="spellStart"/>
      <w:r w:rsidRPr="000F2FEB">
        <w:rPr>
          <w:color w:val="000000"/>
          <w:lang w:val="sr-Cyrl-RS"/>
        </w:rPr>
        <w:t>нотификовано</w:t>
      </w:r>
      <w:proofErr w:type="spellEnd"/>
      <w:r w:rsidRPr="000F2FEB">
        <w:rPr>
          <w:color w:val="000000"/>
          <w:lang w:val="sr-Cyrl-RS"/>
        </w:rPr>
        <w:t xml:space="preserve"> тело ће:</w:t>
      </w:r>
    </w:p>
    <w:p w14:paraId="0A746034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1) узети у обзир декларацију о усклађености са спецификацијама. Стога, поновно процењивање неће бити потребно за спецификације које су већ обухваћене Декларацијом о усаглашености, осим ако постоје докази да су проблеми </w:t>
      </w:r>
      <w:proofErr w:type="spellStart"/>
      <w:r w:rsidRPr="000F2FEB">
        <w:rPr>
          <w:color w:val="000000"/>
          <w:lang w:val="sr-Cyrl-RS"/>
        </w:rPr>
        <w:t>неинтероперабилности</w:t>
      </w:r>
      <w:proofErr w:type="spellEnd"/>
      <w:r w:rsidRPr="000F2FEB">
        <w:rPr>
          <w:color w:val="000000"/>
          <w:lang w:val="sr-Cyrl-RS"/>
        </w:rPr>
        <w:t xml:space="preserve"> повезани са таквим спецификацијама;</w:t>
      </w:r>
    </w:p>
    <w:p w14:paraId="2D9B6AE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2) организовати сарадњу са Субјектом за наплату путарине којег је изабрао произвођач;</w:t>
      </w:r>
    </w:p>
    <w:p w14:paraId="3E601839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проверити техничку документацију и програмом за потврђивање исправности кроз искуство током рада;</w:t>
      </w:r>
    </w:p>
    <w:p w14:paraId="078E1E6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4) одобравати процедуре за праћење начина рада и услуга и вршити посебан надзор;</w:t>
      </w:r>
    </w:p>
    <w:p w14:paraId="7231D54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5) оценити начин интероперабилности са системом и оперативним процесима Субјекта за наплату путарине;</w:t>
      </w:r>
    </w:p>
    <w:p w14:paraId="7CD0AA0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6) издати сертификат о прилагођености за коришћење у случају успешног начина рада компоненти интероперабилности;</w:t>
      </w:r>
    </w:p>
    <w:p w14:paraId="6C18FF8D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7) дати извештај са објашњењем у случају неуспешног начина рада компонената интероперабилности. У извештају ће се такође разматрати питања која могу настати као резултат неусаглашености система и процеса Субјекта за наплату са важећим стандардима и техничким спецификацијама. Извештај ће по потреби, дати препоруке за решавање проблема.</w:t>
      </w:r>
    </w:p>
    <w:p w14:paraId="1610B90A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САДРЖАЈ ДЕКЛАРАЦИЈЕ О УСАГЛАШЕНОСТИ</w:t>
      </w:r>
    </w:p>
    <w:p w14:paraId="1A976F0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Декларација о усаглашености са спецификацијама и прилагођености за коришћење и пратећа документа морају имати датум и потпис.</w:t>
      </w:r>
    </w:p>
    <w:p w14:paraId="3E8A3FF2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Изјаве морају бити написане на истом језику као и упутства и морају да садрже следеће:</w:t>
      </w:r>
    </w:p>
    <w:p w14:paraId="58C404C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1) прописе донете на основу закона о техничким захтевима за производе и оцењивању усаглашености;</w:t>
      </w:r>
    </w:p>
    <w:p w14:paraId="72F8F6CC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 xml:space="preserve">2) име и адресу произвођача, пружаоца ЕЕНП-е или овлашћеног представника са седиштем у </w:t>
      </w:r>
      <w:proofErr w:type="spellStart"/>
      <w:r w:rsidRPr="000F2FEB">
        <w:rPr>
          <w:color w:val="000000"/>
          <w:lang w:val="sr-Cyrl-RS"/>
        </w:rPr>
        <w:t>Eвропској</w:t>
      </w:r>
      <w:proofErr w:type="spellEnd"/>
      <w:r w:rsidRPr="000F2FEB">
        <w:rPr>
          <w:color w:val="000000"/>
          <w:lang w:val="sr-Cyrl-RS"/>
        </w:rPr>
        <w:t xml:space="preserve"> унији (назив привредног субјекта и пуну адресу, у случају овлашћеног представника, такође навести ознаку произвођача или пројектанта);</w:t>
      </w:r>
    </w:p>
    <w:p w14:paraId="5420F781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3) опис компонената интероперабилности (бренд, тип, верзија, итд.);</w:t>
      </w:r>
    </w:p>
    <w:p w14:paraId="0FC3F266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4) опис примењених процедура за сачињавање декларације о усаглашености са спецификацијама или декларације о прилагођености за коришћење;</w:t>
      </w:r>
    </w:p>
    <w:p w14:paraId="6B36E10F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5) све релевантне захтеве које испуњавају компоненте интероперабилности, посебно њихове услове коришћења;</w:t>
      </w:r>
    </w:p>
    <w:p w14:paraId="3364EA85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6) када је то примењиво, име и адресу субјекта за наплату путарине који је укључен у процедуру које се треба придржавати ради постизања усклађености са спецификацијама или процену прилагођености за коришћење;</w:t>
      </w:r>
    </w:p>
    <w:p w14:paraId="4185C3B6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7) по потреби, позивање на техничке спецификације;</w:t>
      </w:r>
    </w:p>
    <w:p w14:paraId="43B1FD53" w14:textId="77777777" w:rsidR="000F2FEB" w:rsidRPr="000F2FEB" w:rsidRDefault="000F2FEB" w:rsidP="000F2FEB">
      <w:pPr>
        <w:pStyle w:val="basic-paragraph"/>
        <w:spacing w:before="0" w:beforeAutospacing="0" w:after="0" w:afterAutospacing="0"/>
        <w:ind w:firstLine="480"/>
        <w:rPr>
          <w:color w:val="000000"/>
          <w:lang w:val="sr-Cyrl-RS"/>
        </w:rPr>
      </w:pPr>
      <w:r w:rsidRPr="000F2FEB">
        <w:rPr>
          <w:color w:val="000000"/>
          <w:lang w:val="sr-Cyrl-RS"/>
        </w:rPr>
        <w:t>8) идентификацију потписника овлашћеног за склапање уговорних обавеза у име произвођача или његовог овлашћеног представника основаног у Европској унији.</w:t>
      </w:r>
    </w:p>
    <w:p w14:paraId="3D8F3D67" w14:textId="77777777" w:rsidR="000F2FEB" w:rsidRPr="000F2FEB" w:rsidRDefault="000F2FE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EFB50" w14:textId="77777777" w:rsidR="00A358AA" w:rsidRPr="000F2FEB" w:rsidRDefault="000F2FEB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F2F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sectPr w:rsidR="00A358AA" w:rsidRPr="000F2F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AA"/>
    <w:rsid w:val="000F2FEB"/>
    <w:rsid w:val="009E733E"/>
    <w:rsid w:val="00A358AA"/>
    <w:rsid w:val="00AD51AE"/>
    <w:rsid w:val="00A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E6D8"/>
  <w15:docId w15:val="{74B417CF-03F4-49F3-8C9C-41E6D16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basic-paragraph">
    <w:name w:val="basic-paragraph"/>
    <w:basedOn w:val="Normal"/>
    <w:rsid w:val="000F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0F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Cupara</cp:lastModifiedBy>
  <cp:revision>7</cp:revision>
  <dcterms:created xsi:type="dcterms:W3CDTF">2019-10-07T11:34:00Z</dcterms:created>
  <dcterms:modified xsi:type="dcterms:W3CDTF">2019-10-08T13:02:00Z</dcterms:modified>
</cp:coreProperties>
</file>