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FF" w:rsidRPr="00F27E0C" w:rsidRDefault="00F27E0C" w:rsidP="005D700D">
      <w:pPr>
        <w:spacing w:before="100" w:beforeAutospacing="1" w:after="100" w:afterAutospacing="1" w:line="240" w:lineRule="auto"/>
        <w:ind w:right="-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</w:pP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ПРАВИЛНИК</w:t>
      </w:r>
      <w:r w:rsidR="005D70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О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ОБАВЕЗНОМ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АТЕСТИРАЊУ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ЕЛЕМЕНАТА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ТИПСКИХ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ГРАЂЕВИНСКИХ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КОНСТРУКЦИЈА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НА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ОТПОРНОСТ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ПРЕМА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ПОЖАРУ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И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О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УСЛОВИМА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КОЈЕ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МОРАЈУ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ИСПУЊАВАТИ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ОРГАНИЗАЦИЈЕ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УДРУЖЕНОГ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РАДА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ОВЛАШЋЕНЕ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ЗА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АТЕСТИРАЊЕ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ТИХ</w:t>
      </w:r>
      <w:r w:rsidR="00F60BFF"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 xml:space="preserve"> </w:t>
      </w:r>
      <w:r w:rsidRPr="00F27E0C"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  <w:t>ПРОИЗВОДА</w:t>
      </w:r>
    </w:p>
    <w:p w:rsidR="00F60BFF" w:rsidRPr="00F27E0C" w:rsidRDefault="00F60BFF" w:rsidP="002304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CS"/>
        </w:rPr>
      </w:pPr>
      <w:r w:rsidRPr="00F27E0C">
        <w:rPr>
          <w:rFonts w:ascii="Times New Roman" w:eastAsia="Times New Roman" w:hAnsi="Times New Roman" w:cs="Times New Roman"/>
          <w:i/>
          <w:iCs/>
          <w:sz w:val="24"/>
          <w:szCs w:val="24"/>
          <w:lang w:eastAsia="sr-Cyrl-CS"/>
        </w:rPr>
        <w:t>(</w:t>
      </w:r>
      <w:r w:rsidR="00F72F7F">
        <w:rPr>
          <w:rFonts w:ascii="Times New Roman" w:eastAsia="Times New Roman" w:hAnsi="Times New Roman" w:cs="Times New Roman"/>
          <w:i/>
          <w:iCs/>
          <w:sz w:val="24"/>
          <w:szCs w:val="24"/>
          <w:lang w:eastAsia="sr-Cyrl-CS"/>
        </w:rPr>
        <w:t>„</w:t>
      </w:r>
      <w:r w:rsidR="00F27E0C" w:rsidRPr="00F27E0C">
        <w:rPr>
          <w:rFonts w:ascii="Times New Roman" w:eastAsia="Times New Roman" w:hAnsi="Times New Roman" w:cs="Times New Roman"/>
          <w:i/>
          <w:iCs/>
          <w:sz w:val="24"/>
          <w:szCs w:val="24"/>
          <w:lang w:eastAsia="sr-Cyrl-CS"/>
        </w:rPr>
        <w:t>Сл</w:t>
      </w:r>
      <w:r w:rsidR="00F72F7F">
        <w:rPr>
          <w:rFonts w:ascii="Times New Roman" w:eastAsia="Times New Roman" w:hAnsi="Times New Roman" w:cs="Times New Roman"/>
          <w:i/>
          <w:iCs/>
          <w:sz w:val="24"/>
          <w:szCs w:val="24"/>
          <w:lang w:eastAsia="sr-Cyrl-CS"/>
        </w:rPr>
        <w:t>ужбени</w:t>
      </w:r>
      <w:r w:rsidRPr="00F27E0C">
        <w:rPr>
          <w:rFonts w:ascii="Times New Roman" w:eastAsia="Times New Roman" w:hAnsi="Times New Roman" w:cs="Times New Roman"/>
          <w:i/>
          <w:iCs/>
          <w:sz w:val="24"/>
          <w:szCs w:val="24"/>
          <w:lang w:eastAsia="sr-Cyrl-CS"/>
        </w:rPr>
        <w:t xml:space="preserve"> </w:t>
      </w:r>
      <w:r w:rsidR="00F27E0C" w:rsidRPr="00F27E0C">
        <w:rPr>
          <w:rFonts w:ascii="Times New Roman" w:eastAsia="Times New Roman" w:hAnsi="Times New Roman" w:cs="Times New Roman"/>
          <w:i/>
          <w:iCs/>
          <w:sz w:val="24"/>
          <w:szCs w:val="24"/>
          <w:lang w:eastAsia="sr-Cyrl-CS"/>
        </w:rPr>
        <w:t>лист</w:t>
      </w:r>
      <w:r w:rsidRPr="00F27E0C">
        <w:rPr>
          <w:rFonts w:ascii="Times New Roman" w:eastAsia="Times New Roman" w:hAnsi="Times New Roman" w:cs="Times New Roman"/>
          <w:i/>
          <w:iCs/>
          <w:sz w:val="24"/>
          <w:szCs w:val="24"/>
          <w:lang w:eastAsia="sr-Cyrl-CS"/>
        </w:rPr>
        <w:t xml:space="preserve"> </w:t>
      </w:r>
      <w:r w:rsidR="00F27E0C" w:rsidRPr="00F27E0C">
        <w:rPr>
          <w:rFonts w:ascii="Times New Roman" w:eastAsia="Times New Roman" w:hAnsi="Times New Roman" w:cs="Times New Roman"/>
          <w:i/>
          <w:iCs/>
          <w:sz w:val="24"/>
          <w:szCs w:val="24"/>
          <w:lang w:eastAsia="sr-Cyrl-CS"/>
        </w:rPr>
        <w:t>СФРЈ</w:t>
      </w:r>
      <w:r w:rsidR="00F72F7F">
        <w:rPr>
          <w:rFonts w:ascii="Times New Roman" w:eastAsia="Times New Roman" w:hAnsi="Times New Roman" w:cs="Times New Roman"/>
          <w:i/>
          <w:iCs/>
          <w:sz w:val="24"/>
          <w:szCs w:val="24"/>
          <w:lang w:eastAsia="sr-Cyrl-CS"/>
        </w:rPr>
        <w:t>”</w:t>
      </w:r>
      <w:r w:rsidRPr="00F27E0C">
        <w:rPr>
          <w:rFonts w:ascii="Times New Roman" w:eastAsia="Times New Roman" w:hAnsi="Times New Roman" w:cs="Times New Roman"/>
          <w:i/>
          <w:iCs/>
          <w:sz w:val="24"/>
          <w:szCs w:val="24"/>
          <w:lang w:eastAsia="sr-Cyrl-CS"/>
        </w:rPr>
        <w:t xml:space="preserve">, </w:t>
      </w:r>
      <w:r w:rsidR="00F27E0C" w:rsidRPr="00F27E0C">
        <w:rPr>
          <w:rFonts w:ascii="Times New Roman" w:eastAsia="Times New Roman" w:hAnsi="Times New Roman" w:cs="Times New Roman"/>
          <w:i/>
          <w:iCs/>
          <w:sz w:val="24"/>
          <w:szCs w:val="24"/>
          <w:lang w:eastAsia="sr-Cyrl-CS"/>
        </w:rPr>
        <w:t>бр</w:t>
      </w:r>
      <w:r w:rsidRPr="00F27E0C">
        <w:rPr>
          <w:rFonts w:ascii="Times New Roman" w:eastAsia="Times New Roman" w:hAnsi="Times New Roman" w:cs="Times New Roman"/>
          <w:i/>
          <w:iCs/>
          <w:sz w:val="24"/>
          <w:szCs w:val="24"/>
          <w:lang w:eastAsia="sr-Cyrl-CS"/>
        </w:rPr>
        <w:t>. 24/90)</w:t>
      </w:r>
    </w:p>
    <w:p w:rsidR="007304F0" w:rsidRPr="007304F0" w:rsidRDefault="00F27E0C" w:rsidP="002304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Члан</w:t>
      </w:r>
      <w:r w:rsidR="007304F0" w:rsidRPr="007304F0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1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Овим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прописује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поступак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обавезног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елемената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типских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грађевинских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конструкција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погледу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даљем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тексту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: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),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: 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зидова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носећих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неносећих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; 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2)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стубова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; 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3)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међуспратних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конструкција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; 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4)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носача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(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носећих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греда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кровних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конструкција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др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.);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5)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кровних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покривача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6)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врата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других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елемената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затварање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отвора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зидовима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7)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димњака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8)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вентилационих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канала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односе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следећи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југословенски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стандарди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:</w:t>
      </w:r>
    </w:p>
    <w:p w:rsidR="007304F0" w:rsidRPr="007304F0" w:rsidRDefault="007304F0" w:rsidP="00230408">
      <w:pPr>
        <w:spacing w:before="100" w:beforeAutospacing="1" w:after="100" w:afterAutospacing="1" w:line="240" w:lineRule="auto"/>
        <w:ind w:left="1134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1) JUS U.J1.040 -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негоривости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материјала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ind w:left="1134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2) JUS U.J1.060 -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Одређивање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брзине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ширења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пламена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ind w:left="1134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3) JUS U.J1.070 -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развоја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конструкција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испитним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пећима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ind w:left="1134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4) JUS U.J1.090 -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зидова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ind w:left="1134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5) JUS U.J1.100 -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стубова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ind w:left="1134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6) JUS U.J1.110 -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међуспратних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конструкција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ind w:left="1134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7) JUS U.J1.114 -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носача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ind w:left="1134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8) JUS U.J1.140 -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кровних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покривача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против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дејства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споља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ind w:left="1134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lastRenderedPageBreak/>
        <w:t xml:space="preserve">9) JUS U.J1.160 -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врата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других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елемената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затварање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отвора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зидовима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ind w:left="1134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10) JUS U.J1.170 -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димњака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против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ind w:left="1134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11) JUS U.J1.172 -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вентилационих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канала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ind w:left="1134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12) JUS U.J1.190 -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Заштитне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мере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противпожарним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ind w:left="1134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13) JUS U.J1.200 -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Мерење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температуре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неизложеној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страни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конструкције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ind w:left="1134" w:hanging="142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14) JUS U.J1.240 -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Типови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конструкција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зграда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њиховој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унутрашњој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против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Овим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одређују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морају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испуњавати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организације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удруженог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рада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овлашћене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обавезно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погледу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7304F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bookmarkStart w:id="0" w:name="clan_2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Члан</w:t>
      </w:r>
      <w:r w:rsidR="007304F0" w:rsidRPr="007304F0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2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Под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типским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грађевинским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конструкцијама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смислу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подразумевају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конструкције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серијама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одређеном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типу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7304F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bookmarkStart w:id="1" w:name="clan_3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Члан</w:t>
      </w:r>
      <w:r w:rsidR="007304F0" w:rsidRPr="007304F0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3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обавезно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члана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1.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подлежу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следеће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карактеристике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: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горивост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2)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брзина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ширења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пламена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3)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7304F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bookmarkStart w:id="2" w:name="clan_4"/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Члан</w:t>
      </w:r>
      <w:r w:rsidR="007304F0" w:rsidRPr="007304F0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4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Вредности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карактеристика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погледу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утврђене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следећим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југословенским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стандардима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: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1) JUS U.J1.040 -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негоривости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материјала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2) JUS U.J1.060 -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Одређивање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брзине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ширења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пламена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3) JUS U.J1.090 -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зидова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4) JUS U.J1.100 -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стубова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5) JUS U.J1.110 -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међуспратних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конструкција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6) JUS U.J1.114 -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носача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7) JUS U.J1.140 -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кровних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покривача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против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дејства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споља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8) JUS U.J1.160 -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врата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других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елемената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затварање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отвора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зидовима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9) JUS U.J1.170 -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димњака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против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10) JUS U.J1.172 -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вентилационих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канала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11) JUS U.J1.240 -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Типови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конструкција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зграда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њиховој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унутрашњој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против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77141" w:rsidP="007304F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bookmarkStart w:id="3" w:name="clan_5"/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Члан</w:t>
      </w:r>
      <w:r w:rsidR="007304F0" w:rsidRPr="007304F0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5</w:t>
      </w:r>
    </w:p>
    <w:p w:rsidR="007304F0" w:rsidRPr="007304F0" w:rsidRDefault="00F27E0C" w:rsidP="00F77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Карактеристике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члана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1.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погледу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испитују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методама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утврђеним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следећим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југословенским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стандардима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:</w:t>
      </w:r>
    </w:p>
    <w:p w:rsidR="007304F0" w:rsidRPr="007304F0" w:rsidRDefault="007304F0" w:rsidP="00F77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1) JUS U.J1.040 -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негоривости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материјала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F77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2) JUS U.J1.060 -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Одређивање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брзине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ширења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пламена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F77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3) JUS U.J1.090 -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зидова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F77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4) JUS U.J1.100 -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стубова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F77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5) JUS U.J1.110 -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међуспратних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конструкција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F77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6) JUS U.J1.114 -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носача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F77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7) JUS U.J1.140 -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кровних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покривача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против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дејства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споља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F77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8) JUS U.J1.160 -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врата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других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елемената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затварање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отвора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зидовима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F77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9) JUS U.J1.170 -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димњака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против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F77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10) JUS U.J1.172 -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вентилационих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канала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F77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11) JUS U.J1.240 -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Типови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конструкција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зграда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њиховој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унутрашњој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против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F77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12) JUS U.J1.070 -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развоја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конструкција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испитним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пећима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F77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13) JUS U.J1.190 -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Заштитне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мере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противпожарним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F77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14) JUS U.J1.200 -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грађевинарству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Мерење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температуре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неизложеној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страни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конструкције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7304F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bookmarkStart w:id="4" w:name="clan_6"/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Члан</w:t>
      </w:r>
      <w:r w:rsidR="007304F0" w:rsidRPr="007304F0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6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Поступак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члана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1.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обухвата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типа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контролу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саобразности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атестираном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типу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7304F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bookmarkStart w:id="5" w:name="clan_7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Члан</w:t>
      </w:r>
      <w:r w:rsidR="007304F0" w:rsidRPr="007304F0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7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Узорке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типа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контролу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саобразности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члана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1.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атестираном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типу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узима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организација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овлашћена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обавезно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начин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утврђен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југословенским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стандардима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чл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4.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5.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узимању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узорака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саставља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записник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садржи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следеће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податке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: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назив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седиште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произвођача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односно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увозника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2)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назив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ознаку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карактеристике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: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)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основне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податке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)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кратак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опис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начина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монтаже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намене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посебним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освртом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факторе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утичу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)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техничку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документацију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оверио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произвођач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треба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садржи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: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цртеж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главног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пројекта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оптерећења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примене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цртеж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свих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детаља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битних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његову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податке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карактеристикама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употребљеног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материјала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утврђених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југословенским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стандардима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начин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уградње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3)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количину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узет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просечан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узорак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4)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место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датум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узимања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узорка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Записник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узимању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узорака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потписују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представници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произвођача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односно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увозника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представници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организације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овлашћене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обављање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послова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обавезног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7304F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bookmarkStart w:id="6" w:name="clan_8"/>
      <w:bookmarkEnd w:id="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Члан</w:t>
      </w:r>
      <w:r w:rsidR="007304F0" w:rsidRPr="007304F0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8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Извештај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члана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1.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произведених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СФРЈ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погледу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ради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обавезног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садржи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: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податке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2)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податке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произвођачу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3)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датум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4)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податке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узимању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узорака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: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број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узорака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ознаке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узорцима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место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датум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узимања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узорака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број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записника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5)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датум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почетка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датум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завршетка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6)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податке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југословенским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стандардима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врши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7)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резултате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8)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место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датум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израде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извештаја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9)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назив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седиште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организације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овлашћене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обавезно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потпис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овлашћеног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лица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отисак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печата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10)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број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решења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овлашћењу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датум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издавања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овлашћења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Извештај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увезених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поред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података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става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1.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члана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садржи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: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врсту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тип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2)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податке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произвођачу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3)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назив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земље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порекла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4)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податке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испоручиоцу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односно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увознику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5)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број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датум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закључнице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6)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број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датум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уговора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7)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број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датум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фактуре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8)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место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датум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приспећа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количину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7304F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bookmarkStart w:id="7" w:name="clan_9"/>
      <w:bookmarkEnd w:id="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Члан</w:t>
      </w:r>
      <w:r w:rsidR="007304F0" w:rsidRPr="007304F0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9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члана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1.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утврди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испуњавају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прописане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организација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овлашћена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обавезно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издаје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прилаже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извештај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Време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важења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члана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1.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шест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година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издавања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ако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контролом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саобразности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извршеном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члану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11.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утврди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саобразни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атестираном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типу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извештај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издају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три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примерка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којих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један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доставља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подносиоцу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захтева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други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Савезном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заводу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стандардизацију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трећи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задржава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организација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овлашћена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обавезно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Организација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овлашћена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обавезно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дужна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извештаје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чува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најмање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десет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година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њиховог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издавања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Све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промене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конструкције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материјала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производног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поступка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члана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3.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морају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пријавити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ради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поновног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организацији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овлашћеној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послове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обавезног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7304F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bookmarkStart w:id="8" w:name="clan_10"/>
      <w:bookmarkEnd w:id="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Члан</w:t>
      </w:r>
      <w:r w:rsidR="007304F0" w:rsidRPr="007304F0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10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издат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произвођач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односно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увозник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означава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атестним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знаком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Атестни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знак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ставља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посебну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плочицу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или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налепницу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чему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величину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687FCD">
        <w:rPr>
          <w:rFonts w:ascii="Times New Roman" w:eastAsia="Times New Roman" w:hAnsi="Times New Roman" w:cs="Times New Roman"/>
          <w:sz w:val="25"/>
          <w:szCs w:val="25"/>
          <w:lang w:eastAsia="sr-Cyrl-CS"/>
        </w:rPr>
        <w:t>„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B</w:t>
      </w:r>
      <w:r w:rsidR="00687FCD">
        <w:rPr>
          <w:rFonts w:ascii="Times New Roman" w:eastAsia="Times New Roman" w:hAnsi="Times New Roman" w:cs="Times New Roman"/>
          <w:sz w:val="25"/>
          <w:szCs w:val="25"/>
          <w:lang w:eastAsia="sr-Cyrl-CS"/>
        </w:rPr>
        <w:t>”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тачке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4.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Наредбе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изгледу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употреби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атестног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знака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(</w:t>
      </w:r>
      <w:r w:rsidR="00687FCD">
        <w:rPr>
          <w:rFonts w:ascii="Times New Roman" w:eastAsia="Times New Roman" w:hAnsi="Times New Roman" w:cs="Times New Roman"/>
          <w:sz w:val="25"/>
          <w:szCs w:val="25"/>
          <w:lang w:eastAsia="sr-Cyrl-CS"/>
        </w:rPr>
        <w:t>„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Службени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лист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СФРЈ</w:t>
      </w:r>
      <w:r w:rsidR="00687FCD">
        <w:rPr>
          <w:rFonts w:ascii="Times New Roman" w:eastAsia="Times New Roman" w:hAnsi="Times New Roman" w:cs="Times New Roman"/>
          <w:sz w:val="25"/>
          <w:szCs w:val="25"/>
          <w:lang w:eastAsia="sr-Cyrl-CS"/>
        </w:rPr>
        <w:t>”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бр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4/79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3/81)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одређује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произвођач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односно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увозник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основу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величине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карактера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атестираног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реда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величина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R10,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изражених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милиметрима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југословенском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стандарду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JUS A.A0.001 -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Стандардни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бројеви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бројчане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вредности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дефиниције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тим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: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односи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мера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„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A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”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„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B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”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„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C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”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буду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Наредби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изгледу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употреби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атестног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знака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2)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означавање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атестним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знаком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врши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самом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3)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атестног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знака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уписује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словна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бројчана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ознака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Словна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ознака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односи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групу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подгрупу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југословенских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стандарда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(U.J)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припадају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атестирају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бројчана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ознака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представља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шифру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организације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овлашћена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обавезно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4)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унутар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атестног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знака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постоји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ознака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„P”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кругу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чија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дебљина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износи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половину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мере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„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C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”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тачке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2.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Наредбе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изгледу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употреби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атестног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знака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7304F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bookmarkStart w:id="9" w:name="clan_11"/>
      <w:bookmarkEnd w:id="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Члан</w:t>
      </w:r>
      <w:r w:rsidR="007304F0" w:rsidRPr="007304F0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11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Контрола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саобразности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члана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1.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атестираном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типу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врши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свака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24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месеца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чему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испитују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све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карактеристике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члана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3.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контролу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саобразности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узима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најмање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један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узорак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Ако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резултати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задовољавају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карактеристике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квалитета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члана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4.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морају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узети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два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накнадна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узорка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Ако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један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накнадно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узетих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узорака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удовољи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карактеристикама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квалитета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члана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4.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организација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овлашћена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томе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обавештава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произвођача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образложењем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као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Савезни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завод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стандардизацију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ради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повлачења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F27E0C" w:rsidP="007304F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bookmarkStart w:id="10" w:name="clan_12"/>
      <w:bookmarkEnd w:id="1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Члан</w:t>
      </w:r>
      <w:r w:rsidR="007304F0" w:rsidRPr="007304F0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12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члана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1.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погледу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може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овластити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организација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погледу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опремљености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стручних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квалификација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кадрова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испуњава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следеће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: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1)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располаже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следећом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опремом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: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)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специјално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конструисаним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пећима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излагање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узорака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елемената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)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стандардном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следећим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југословенским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стандардима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: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излагање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вертикалних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елемената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једне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стране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- JUS U.J1.090;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излагање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хоризонталних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елемената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конструкција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доње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стране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- JUS U.J1.110;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излагање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греда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три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или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четири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стране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- JUS U.J1.114;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-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излагање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стубова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зидова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више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једне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27E0C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стране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- JUS U.J1.100;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)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уређајем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излагање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кровних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покривача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- JUS U.J1.140.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Завршни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слој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облоге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пећи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дебљине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50 mm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мора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буде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материјала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задовољава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: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√ρλc ≤ 600 Ws</w:t>
      </w:r>
      <w:r w:rsidRPr="007304F0">
        <w:rPr>
          <w:rFonts w:ascii="Times New Roman" w:eastAsia="Times New Roman" w:hAnsi="Times New Roman" w:cs="Times New Roman"/>
          <w:sz w:val="15"/>
          <w:vertAlign w:val="superscript"/>
          <w:lang w:eastAsia="sr-Cyrl-CS"/>
        </w:rPr>
        <w:t>1/2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/m</w:t>
      </w:r>
      <w:r w:rsidRPr="007304F0">
        <w:rPr>
          <w:rFonts w:ascii="Times New Roman" w:eastAsia="Times New Roman" w:hAnsi="Times New Roman" w:cs="Times New Roman"/>
          <w:sz w:val="15"/>
          <w:vertAlign w:val="superscript"/>
          <w:lang w:eastAsia="sr-Cyrl-CS"/>
        </w:rPr>
        <w:t>2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• K pri 773 K</w:t>
      </w:r>
    </w:p>
    <w:p w:rsidR="007304F0" w:rsidRPr="007304F0" w:rsidRDefault="00F27E0C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где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: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ρ -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густина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килограмима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кубном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метру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(kg/m</w:t>
      </w:r>
      <w:r w:rsidRPr="007304F0">
        <w:rPr>
          <w:rFonts w:ascii="Times New Roman" w:eastAsia="Times New Roman" w:hAnsi="Times New Roman" w:cs="Times New Roman"/>
          <w:sz w:val="15"/>
          <w:vertAlign w:val="superscript"/>
          <w:lang w:eastAsia="sr-Cyrl-CS"/>
        </w:rPr>
        <w:t>3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);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λ -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топлотна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проводљивост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ватима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метаркелвину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(W/m • K);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c -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специфични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топлотни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капацитет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џулима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килограмкелвину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(J/kg • K);</w:t>
      </w:r>
    </w:p>
    <w:p w:rsidR="007304F0" w:rsidRPr="007304F0" w:rsidRDefault="00825985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)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уређајем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мерење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температуре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унутар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пећи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њено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контролисање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прецизности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± 15 °C;</w:t>
      </w:r>
    </w:p>
    <w:p w:rsidR="007304F0" w:rsidRPr="007304F0" w:rsidRDefault="00825985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)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уређајем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мерење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контролу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натпритиска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пећи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прецизности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± 1 Pa;</w:t>
      </w:r>
    </w:p>
    <w:p w:rsidR="007304F0" w:rsidRPr="007304F0" w:rsidRDefault="00825985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)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опремом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која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саставни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део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пећи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као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што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оквири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уградњу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елемената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ради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постизања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одговарајућих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услова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загревања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притиска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оптерећења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уређајем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мерење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оптерећења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прецизности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± 5%;</w:t>
      </w:r>
    </w:p>
    <w:p w:rsidR="007304F0" w:rsidRPr="007304F0" w:rsidRDefault="00825985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ђ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)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уређајем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мерење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температуре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неизложене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стране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узорака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потреби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унутар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узорака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прецизности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± 5 °C;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e) 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уређајем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мерење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деформације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узорака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A45ED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прецизности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± 1 mm;</w:t>
      </w:r>
    </w:p>
    <w:p w:rsidR="007304F0" w:rsidRPr="007304F0" w:rsidRDefault="00825985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ж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)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уређајем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утврђивање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задовољења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критеријума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протеклог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времена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прецизности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± 10 s;</w:t>
      </w:r>
    </w:p>
    <w:p w:rsidR="007304F0" w:rsidRPr="007304F0" w:rsidRDefault="00825985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)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уређајем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мерење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концентрације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кисеоника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гасовима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унутар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пећи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прецизности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± 0,5%;</w:t>
      </w:r>
    </w:p>
    <w:p w:rsidR="007304F0" w:rsidRPr="007304F0" w:rsidRDefault="00825985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)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уређајем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контролу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топлотног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зрачења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2)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располаже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просторијама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југословенском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стандарду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JUS U.J1.190 -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Заштитне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мере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при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противпожарним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7304F0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3)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послове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обавезног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има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раднике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следећих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стручних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825985">
        <w:rPr>
          <w:rFonts w:ascii="Times New Roman" w:eastAsia="Times New Roman" w:hAnsi="Times New Roman" w:cs="Times New Roman"/>
          <w:sz w:val="25"/>
          <w:szCs w:val="25"/>
          <w:lang w:eastAsia="sr-Cyrl-CS"/>
        </w:rPr>
        <w:t>квалификација</w:t>
      </w:r>
      <w:r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:</w:t>
      </w:r>
    </w:p>
    <w:p w:rsidR="007304F0" w:rsidRPr="007304F0" w:rsidRDefault="00825985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)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руковођење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пословима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или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обавезног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радника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високом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стручном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спремом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најмање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пет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година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радног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искуства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пословима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;</w:t>
      </w:r>
    </w:p>
    <w:p w:rsidR="007304F0" w:rsidRPr="007304F0" w:rsidRDefault="00825985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б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)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најмање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два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радника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високом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стручном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спремом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најмање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три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године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радног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искуства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пословима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испитивања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заштите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825985" w:rsidP="007304F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bookmarkStart w:id="11" w:name="clan_13"/>
      <w:bookmarkEnd w:id="1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Члан</w:t>
      </w:r>
      <w:r w:rsidR="007304F0" w:rsidRPr="007304F0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13</w:t>
      </w:r>
    </w:p>
    <w:p w:rsidR="007304F0" w:rsidRPr="007304F0" w:rsidRDefault="00825985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Организација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овлашћена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обавезно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производа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из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члана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1.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овог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погледу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отпорности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према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пожару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спроводи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поступак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року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30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узимања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односно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монтаже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узорка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за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атестирање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7304F0" w:rsidRPr="007304F0" w:rsidRDefault="00825985" w:rsidP="007304F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</w:pPr>
      <w:bookmarkStart w:id="12" w:name="clan_14"/>
      <w:bookmarkEnd w:id="1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>Члан</w:t>
      </w:r>
      <w:r w:rsidR="007304F0" w:rsidRPr="007304F0">
        <w:rPr>
          <w:rFonts w:ascii="Times New Roman" w:eastAsia="Times New Roman" w:hAnsi="Times New Roman" w:cs="Times New Roman"/>
          <w:b/>
          <w:bCs/>
          <w:sz w:val="28"/>
          <w:szCs w:val="28"/>
          <w:lang w:eastAsia="sr-Cyrl-CS"/>
        </w:rPr>
        <w:t xml:space="preserve"> 14</w:t>
      </w:r>
    </w:p>
    <w:p w:rsidR="007304F0" w:rsidRPr="007304F0" w:rsidRDefault="00825985" w:rsidP="00230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Овај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правилник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ступа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снагу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по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истеку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шест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месеци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од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дана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објављивања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 w:rsidR="00FD0FB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„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Службеном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листу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sr-Cyrl-CS"/>
        </w:rPr>
        <w:t>СФРЈ</w:t>
      </w:r>
      <w:r w:rsidR="00FD0FB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”</w:t>
      </w:r>
      <w:r w:rsidR="007304F0" w:rsidRPr="007304F0">
        <w:rPr>
          <w:rFonts w:ascii="Times New Roman" w:eastAsia="Times New Roman" w:hAnsi="Times New Roman" w:cs="Times New Roman"/>
          <w:sz w:val="25"/>
          <w:szCs w:val="25"/>
          <w:lang w:eastAsia="sr-Cyrl-CS"/>
        </w:rPr>
        <w:t>.</w:t>
      </w:r>
    </w:p>
    <w:p w:rsidR="00316F27" w:rsidRPr="007304F0" w:rsidRDefault="00316F27">
      <w:pPr>
        <w:rPr>
          <w:rFonts w:ascii="Times New Roman" w:hAnsi="Times New Roman" w:cs="Times New Roman"/>
        </w:rPr>
      </w:pPr>
    </w:p>
    <w:sectPr w:rsidR="00316F27" w:rsidRPr="007304F0" w:rsidSect="008259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304F0"/>
    <w:rsid w:val="00230408"/>
    <w:rsid w:val="00316F27"/>
    <w:rsid w:val="005D700D"/>
    <w:rsid w:val="00687FCD"/>
    <w:rsid w:val="007304F0"/>
    <w:rsid w:val="00825985"/>
    <w:rsid w:val="00A45ED0"/>
    <w:rsid w:val="00A84878"/>
    <w:rsid w:val="00A97BE3"/>
    <w:rsid w:val="00BE7A02"/>
    <w:rsid w:val="00F27E0C"/>
    <w:rsid w:val="00F60BFF"/>
    <w:rsid w:val="00F72F7F"/>
    <w:rsid w:val="00F77141"/>
    <w:rsid w:val="00FD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27"/>
  </w:style>
  <w:style w:type="paragraph" w:styleId="Heading6">
    <w:name w:val="heading 6"/>
    <w:basedOn w:val="Normal"/>
    <w:link w:val="Heading6Char"/>
    <w:uiPriority w:val="9"/>
    <w:qFormat/>
    <w:rsid w:val="007304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304F0"/>
    <w:rPr>
      <w:rFonts w:ascii="Times New Roman" w:eastAsia="Times New Roman" w:hAnsi="Times New Roman" w:cs="Times New Roman"/>
      <w:b/>
      <w:bCs/>
      <w:sz w:val="15"/>
      <w:szCs w:val="15"/>
      <w:lang w:eastAsia="sr-Cyrl-CS"/>
    </w:rPr>
  </w:style>
  <w:style w:type="paragraph" w:customStyle="1" w:styleId="clan">
    <w:name w:val="clan"/>
    <w:basedOn w:val="Normal"/>
    <w:rsid w:val="007304F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Cyrl-CS"/>
    </w:rPr>
  </w:style>
  <w:style w:type="paragraph" w:customStyle="1" w:styleId="normal0">
    <w:name w:val="normal"/>
    <w:basedOn w:val="Normal"/>
    <w:rsid w:val="007304F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Cyrl-CS"/>
    </w:rPr>
  </w:style>
  <w:style w:type="paragraph" w:customStyle="1" w:styleId="normaluvuceni">
    <w:name w:val="normal_uvuceni"/>
    <w:basedOn w:val="Normal"/>
    <w:rsid w:val="007304F0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Cyrl-CS"/>
    </w:rPr>
  </w:style>
  <w:style w:type="paragraph" w:customStyle="1" w:styleId="podnaslovpropisa">
    <w:name w:val="podnaslovpropisa"/>
    <w:basedOn w:val="Normal"/>
    <w:rsid w:val="007304F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Cyrl-CS"/>
    </w:rPr>
  </w:style>
  <w:style w:type="character" w:customStyle="1" w:styleId="stepen1">
    <w:name w:val="stepen1"/>
    <w:basedOn w:val="DefaultParagraphFont"/>
    <w:rsid w:val="007304F0"/>
    <w:rPr>
      <w:sz w:val="15"/>
      <w:szCs w:val="15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Vukosavljevic</dc:creator>
  <cp:lastModifiedBy>Nina Vukosavljevic</cp:lastModifiedBy>
  <cp:revision>7</cp:revision>
  <dcterms:created xsi:type="dcterms:W3CDTF">2016-03-15T08:18:00Z</dcterms:created>
  <dcterms:modified xsi:type="dcterms:W3CDTF">2016-03-15T08:40:00Z</dcterms:modified>
</cp:coreProperties>
</file>