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9d931" w14:textId="2a9d931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91. став 5. Закона о путевима („Службени гласник РС”, бр. 41/18 и 95/18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грађевинарства, саобраћаја и инфраструктуре уз сагласност министра унутрашњих послова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 извештаја о саобраћајним незгодама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34 од 17. маја 2019.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садржина извештаја о саобраћајним незгодама.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из члана 1. овог правилника садржи најмање следеће податке: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локација саобраћајне незгоде: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место,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општина,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пут (ознака, деоница, стационажа) или улица и број,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GPS координате;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датум и време саобраћајне незгоде;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подаци о путу: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пут у насељу или ван насеља,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категорија пута,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тип раскрснице, уколико се незгода догодила у раскрсници,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саобраћајна сигнализација (саобраћајни знакови и ознаке на путу) и јавно осветљење,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подаци о броју саобраћајних трака,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(6) стање коловоза,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(7) временски услови,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(8) ограничење брзине,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(9) препреке на путу;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подаци о броју погинулих и повређених лица у саобраћајној незгоди;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подаци о непосредним учесницима саобраћајне незгоде: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старост,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пол,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држављанство,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ниво алкохолисаности,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(5) коришћење елемената пасивне заштите;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подаци о возилима: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врста возила,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тип и марка возила,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година производње,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држава регистрације возила;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подаци о саобраћајној незгоди: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тип саобраћајне незгоде,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маневар возила;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подаци о времену пријављивања незгоде и времену доласка увиђајне екипе: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време када је незгода пријављена,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време доласка увиђајне екипе на лице места.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344-08-4989/2019-03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9. маја 2019.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проф. др </w:t>
      </w:r>
      <w:r>
        <w:rPr>
          <w:rFonts w:ascii="Verdana"/>
          <w:b/>
          <w:i w:val="false"/>
          <w:color w:val="000000"/>
          <w:sz w:val="22"/>
        </w:rPr>
        <w:t>Зорана З. Михајловић,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