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8A" w:rsidRDefault="00ED258A" w:rsidP="00ED258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112.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4.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РС</w:t>
      </w:r>
      <w:r>
        <w:rPr>
          <w:rFonts w:ascii="Arial" w:hAnsi="Arial" w:cs="Arial"/>
          <w:color w:val="000000"/>
          <w:sz w:val="18"/>
          <w:szCs w:val="18"/>
        </w:rPr>
        <w:t>ˮ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41/18) </w:t>
      </w:r>
      <w:r>
        <w:rPr>
          <w:rFonts w:ascii="Verdana" w:hAnsi="Verdana" w:cs="Verdana"/>
          <w:color w:val="000000"/>
          <w:sz w:val="18"/>
          <w:szCs w:val="18"/>
        </w:rPr>
        <w:t>и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42.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став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Закона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о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Влади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r>
        <w:rPr>
          <w:rFonts w:ascii="Verdana" w:hAnsi="Verdana" w:cs="Verdana"/>
          <w:color w:val="000000"/>
          <w:sz w:val="18"/>
          <w:szCs w:val="18"/>
        </w:rPr>
        <w:t>„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РС</w:t>
      </w:r>
      <w:r>
        <w:rPr>
          <w:rFonts w:ascii="Arial" w:hAnsi="Arial" w:cs="Arial"/>
          <w:color w:val="000000"/>
          <w:sz w:val="18"/>
          <w:szCs w:val="18"/>
        </w:rPr>
        <w:t>ˮ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бр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55/05 </w:t>
      </w:r>
      <w:r>
        <w:rPr>
          <w:rFonts w:ascii="Verdana" w:hAnsi="Verdana" w:cs="Verdana"/>
          <w:color w:val="000000"/>
          <w:sz w:val="18"/>
          <w:szCs w:val="18"/>
        </w:rPr>
        <w:t>и</w:t>
      </w:r>
      <w:r>
        <w:rPr>
          <w:rFonts w:ascii="Verdana" w:hAnsi="Verdana"/>
          <w:color w:val="000000"/>
          <w:sz w:val="18"/>
          <w:szCs w:val="18"/>
        </w:rPr>
        <w:t xml:space="preserve"> 71/05 </w:t>
      </w:r>
      <w:r>
        <w:rPr>
          <w:rFonts w:ascii="Verdana" w:hAnsi="Verdana" w:cs="Verdana"/>
          <w:color w:val="000000"/>
          <w:sz w:val="18"/>
          <w:szCs w:val="18"/>
        </w:rPr>
        <w:t>–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исправка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101/07, 65/08, 16/11, 68/12 </w:t>
      </w:r>
      <w:r>
        <w:rPr>
          <w:rFonts w:ascii="Verdana" w:hAnsi="Verdana" w:cs="Verdana"/>
          <w:color w:val="000000"/>
          <w:sz w:val="18"/>
          <w:szCs w:val="18"/>
        </w:rPr>
        <w:t>–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УС</w:t>
      </w:r>
      <w:r>
        <w:rPr>
          <w:rFonts w:ascii="Verdana" w:hAnsi="Verdana"/>
          <w:color w:val="000000"/>
          <w:sz w:val="18"/>
          <w:szCs w:val="18"/>
        </w:rPr>
        <w:t xml:space="preserve">, 72/12, 7/14 </w:t>
      </w:r>
      <w:r>
        <w:rPr>
          <w:rFonts w:ascii="Verdana" w:hAnsi="Verdana" w:cs="Verdana"/>
          <w:color w:val="000000"/>
          <w:sz w:val="18"/>
          <w:szCs w:val="18"/>
        </w:rPr>
        <w:t>–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УС</w:t>
      </w:r>
      <w:r>
        <w:rPr>
          <w:rFonts w:ascii="Verdana" w:hAnsi="Verdana"/>
          <w:color w:val="000000"/>
          <w:sz w:val="18"/>
          <w:szCs w:val="18"/>
        </w:rPr>
        <w:t xml:space="preserve">, 44/14 </w:t>
      </w:r>
      <w:r>
        <w:rPr>
          <w:rFonts w:ascii="Verdana" w:hAnsi="Verdana" w:cs="Verdana"/>
          <w:color w:val="000000"/>
          <w:sz w:val="18"/>
          <w:szCs w:val="18"/>
        </w:rPr>
        <w:t>и</w:t>
      </w:r>
      <w:r>
        <w:rPr>
          <w:rFonts w:ascii="Verdana" w:hAnsi="Verdana"/>
          <w:color w:val="000000"/>
          <w:sz w:val="18"/>
          <w:szCs w:val="18"/>
        </w:rPr>
        <w:t xml:space="preserve"> 30/18 </w:t>
      </w:r>
      <w:r>
        <w:rPr>
          <w:rFonts w:ascii="Verdana" w:hAnsi="Verdana" w:cs="Verdana"/>
          <w:color w:val="000000"/>
          <w:sz w:val="18"/>
          <w:szCs w:val="18"/>
        </w:rPr>
        <w:t>–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др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закон</w:t>
      </w:r>
      <w:proofErr w:type="spellEnd"/>
      <w:r>
        <w:rPr>
          <w:rFonts w:ascii="Verdana" w:hAnsi="Verdana"/>
          <w:color w:val="000000"/>
          <w:sz w:val="18"/>
          <w:szCs w:val="18"/>
        </w:rPr>
        <w:t>),</w:t>
      </w:r>
    </w:p>
    <w:p w:rsidR="00ED258A" w:rsidRDefault="00ED258A" w:rsidP="00ED258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Влада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доноси</w:t>
      </w:r>
      <w:proofErr w:type="spellEnd"/>
    </w:p>
    <w:p w:rsidR="00ED258A" w:rsidRDefault="00ED258A" w:rsidP="00ED258A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УРЕДБУ</w:t>
      </w:r>
    </w:p>
    <w:p w:rsidR="00ED258A" w:rsidRDefault="00ED258A" w:rsidP="00ED258A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bookmarkStart w:id="0" w:name="_GoBack"/>
      <w:r>
        <w:rPr>
          <w:rFonts w:ascii="Verdana" w:hAnsi="Verdana"/>
          <w:b/>
          <w:bCs/>
          <w:color w:val="000000"/>
          <w:sz w:val="18"/>
          <w:szCs w:val="18"/>
        </w:rPr>
        <w:t xml:space="preserve">о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правилима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обрачунавању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надокнаде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обавезу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јавног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железничком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саобраћају</w:t>
      </w:r>
      <w:proofErr w:type="spellEnd"/>
    </w:p>
    <w:bookmarkEnd w:id="0"/>
    <w:p w:rsidR="00ED258A" w:rsidRDefault="00ED258A" w:rsidP="00ED258A">
      <w:pPr>
        <w:pStyle w:val="centar"/>
        <w:spacing w:before="225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"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РС",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62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30. </w:t>
      </w:r>
      <w:proofErr w:type="spellStart"/>
      <w:r>
        <w:rPr>
          <w:rFonts w:ascii="Verdana" w:hAnsi="Verdana"/>
          <w:color w:val="000000"/>
          <w:sz w:val="18"/>
          <w:szCs w:val="18"/>
        </w:rPr>
        <w:t>августа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2019.</w:t>
      </w:r>
    </w:p>
    <w:p w:rsidR="00ED258A" w:rsidRDefault="00ED258A" w:rsidP="00ED258A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</w:t>
      </w:r>
    </w:p>
    <w:p w:rsidR="00ED258A" w:rsidRDefault="00ED258A" w:rsidP="00ED258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уредбом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прописују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обрачунавању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надокнаде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ED258A" w:rsidRDefault="00ED258A" w:rsidP="00ED258A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2.</w:t>
      </w:r>
    </w:p>
    <w:p w:rsidR="00ED258A" w:rsidRDefault="00ED258A" w:rsidP="00ED258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Надлежни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орган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пружа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превознику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надокнаду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износу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нето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финансијског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резултата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позитивног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негативног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трошкове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остварене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приходе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тарифним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установљеним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општим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начин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онемогућује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исплату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превисоке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надокнаде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Надлежни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орган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задржава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одређене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максималне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тарифе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укључи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уговоре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тим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обавезама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ED258A" w:rsidRDefault="00ED258A" w:rsidP="00ED258A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3.</w:t>
      </w:r>
    </w:p>
    <w:p w:rsidR="00ED258A" w:rsidRDefault="00ED258A" w:rsidP="00ED258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Финансијски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резултати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2. </w:t>
      </w:r>
      <w:proofErr w:type="spellStart"/>
      <w:r>
        <w:rPr>
          <w:rFonts w:ascii="Verdana" w:hAnsi="Verdana"/>
          <w:color w:val="000000"/>
          <w:sz w:val="18"/>
          <w:szCs w:val="18"/>
        </w:rPr>
        <w:t>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уредбе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оцењују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упоређивањeм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ситуације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извршава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ситуацијом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наступила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извршава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ED258A" w:rsidRDefault="00ED258A" w:rsidP="00ED258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израчунавању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нето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финансијског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резултата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 </w:t>
      </w:r>
      <w:proofErr w:type="spellStart"/>
      <w:r>
        <w:rPr>
          <w:rFonts w:ascii="Verdana" w:hAnsi="Verdana"/>
          <w:color w:val="000000"/>
          <w:sz w:val="18"/>
          <w:szCs w:val="18"/>
        </w:rPr>
        <w:t>овог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узимају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обзир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мерљиви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финансијски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ефекти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надокнаде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активности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нису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део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превозника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ED258A" w:rsidRDefault="00ED258A" w:rsidP="00ED258A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4.</w:t>
      </w:r>
    </w:p>
    <w:p w:rsidR="00ED258A" w:rsidRDefault="00ED258A" w:rsidP="00ED258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Израчунавање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износа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нето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финансијског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резултата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2. </w:t>
      </w:r>
      <w:proofErr w:type="spellStart"/>
      <w:r>
        <w:rPr>
          <w:rFonts w:ascii="Verdana" w:hAnsi="Verdana"/>
          <w:color w:val="000000"/>
          <w:sz w:val="18"/>
          <w:szCs w:val="18"/>
        </w:rPr>
        <w:t>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уредбе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врши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следећој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формули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ED258A" w:rsidRDefault="00ED258A" w:rsidP="00ED258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НФР = Т-П-ПТ + ПД, </w:t>
      </w:r>
      <w:proofErr w:type="spellStart"/>
      <w:r>
        <w:rPr>
          <w:rFonts w:ascii="Verdana" w:hAnsi="Verdana"/>
          <w:color w:val="000000"/>
          <w:sz w:val="18"/>
          <w:szCs w:val="18"/>
        </w:rPr>
        <w:t>где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</w:p>
    <w:p w:rsidR="00ED258A" w:rsidRDefault="00ED258A" w:rsidP="00ED258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НФР – </w:t>
      </w:r>
      <w:proofErr w:type="spellStart"/>
      <w:r>
        <w:rPr>
          <w:rFonts w:ascii="Verdana" w:hAnsi="Verdana"/>
          <w:color w:val="000000"/>
          <w:sz w:val="18"/>
          <w:szCs w:val="18"/>
        </w:rPr>
        <w:t>нето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финансијски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резултат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ED258A" w:rsidRDefault="00ED258A" w:rsidP="00ED258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Т – </w:t>
      </w:r>
      <w:proofErr w:type="spellStart"/>
      <w:r>
        <w:rPr>
          <w:rFonts w:ascii="Verdana" w:hAnsi="Verdana"/>
          <w:color w:val="000000"/>
          <w:sz w:val="18"/>
          <w:szCs w:val="18"/>
        </w:rPr>
        <w:t>трошкови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вези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пружањем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садржани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уговору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и/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општим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правилима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ED258A" w:rsidRDefault="00ED258A" w:rsidP="00ED258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 –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приход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остварен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путника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мрежи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врши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утврђена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ED258A" w:rsidRDefault="00ED258A" w:rsidP="00ED258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ПТ –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приход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тарифа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сви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остали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приходи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током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извршавања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утврђене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ED258A" w:rsidRDefault="00ED258A" w:rsidP="00ED258A">
      <w:pPr>
        <w:pStyle w:val="basic-paragraph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ПД</w:t>
      </w: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–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примерена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добит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означава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стопу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повраћаја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капитала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уобичајена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сектор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узима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обзир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ризик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одсуство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ризика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излаже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пружалац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услуга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услед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интервенције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надлежног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органа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ED258A" w:rsidRDefault="00ED258A" w:rsidP="00ED258A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5.</w:t>
      </w:r>
    </w:p>
    <w:p w:rsidR="00ED258A" w:rsidRDefault="00ED258A" w:rsidP="00ED258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lastRenderedPageBreak/>
        <w:t>Обрачун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трошкова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прихода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вези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врши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наредну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рачуноводствених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података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претходне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пословне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Износ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надокнаде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израчунава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начин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што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укупни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трошкови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приходи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обрачунати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претходну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пословну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коригују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корективним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факторима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планирани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возни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километри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планирана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промена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прихода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очекивана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инфлација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промена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цене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енергената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тржишту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повећање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смањење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запослених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итд</w:t>
      </w:r>
      <w:proofErr w:type="spellEnd"/>
      <w:r>
        <w:rPr>
          <w:rFonts w:ascii="Verdana" w:hAnsi="Verdana"/>
          <w:color w:val="000000"/>
          <w:sz w:val="18"/>
          <w:szCs w:val="18"/>
        </w:rPr>
        <w:t>.).</w:t>
      </w:r>
    </w:p>
    <w:p w:rsidR="00ED258A" w:rsidRDefault="00ED258A" w:rsidP="00ED258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Трошкови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приходи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 </w:t>
      </w:r>
      <w:proofErr w:type="spellStart"/>
      <w:r>
        <w:rPr>
          <w:rFonts w:ascii="Verdana" w:hAnsi="Verdana"/>
          <w:color w:val="000000"/>
          <w:sz w:val="18"/>
          <w:szCs w:val="18"/>
        </w:rPr>
        <w:t>овог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обрачунавају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важећим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рачуноводственим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пореским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прописима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ED258A" w:rsidRDefault="00ED258A" w:rsidP="00ED258A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6.</w:t>
      </w:r>
    </w:p>
    <w:p w:rsidR="00ED258A" w:rsidRDefault="00ED258A" w:rsidP="00ED258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Елементи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користе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обрачун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надокнаде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приказани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табелама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одштампане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уредбу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чине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њен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саставни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део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и </w:t>
      </w:r>
      <w:proofErr w:type="spellStart"/>
      <w:r>
        <w:rPr>
          <w:rFonts w:ascii="Verdana" w:hAnsi="Verdana"/>
          <w:color w:val="000000"/>
          <w:sz w:val="18"/>
          <w:szCs w:val="18"/>
        </w:rPr>
        <w:t>то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ED258A" w:rsidRDefault="00ED258A" w:rsidP="00ED258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укупни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приходи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трошкови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путника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приказани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Табели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1;</w:t>
      </w:r>
    </w:p>
    <w:p w:rsidR="00ED258A" w:rsidRDefault="00ED258A" w:rsidP="00ED258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процењени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укупни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приходи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трошкови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потребни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израчунавање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надокнаде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приказани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Табели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2;</w:t>
      </w:r>
    </w:p>
    <w:p w:rsidR="00ED258A" w:rsidRDefault="00ED258A" w:rsidP="00ED258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укупан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износ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надокнаде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трошковима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приступа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(у 000 РСД),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приказани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Табели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3.</w:t>
      </w:r>
    </w:p>
    <w:p w:rsidR="00ED258A" w:rsidRDefault="00ED258A" w:rsidP="00ED258A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7.</w:t>
      </w:r>
    </w:p>
    <w:p w:rsidR="00ED258A" w:rsidRDefault="00ED258A" w:rsidP="00ED258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Ако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уговор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садржи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посебне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захтеве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додатни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квалитет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услуге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измене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пројектованог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вожње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корекцију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време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поласка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додатна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заустављања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потребе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уласка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изласка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путника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нису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била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обухваћена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пројектованим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редом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вожње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и/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новог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прописана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овом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уредбом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одређивање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надокнаде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сходно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примењују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тако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утврђену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ED258A" w:rsidRDefault="00ED258A" w:rsidP="00ED258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Ако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потписници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уговора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 </w:t>
      </w:r>
      <w:proofErr w:type="spellStart"/>
      <w:r>
        <w:rPr>
          <w:rFonts w:ascii="Verdana" w:hAnsi="Verdana"/>
          <w:color w:val="000000"/>
          <w:sz w:val="18"/>
          <w:szCs w:val="18"/>
        </w:rPr>
        <w:t>овог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више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надлежних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органа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учешће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сваког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органа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обрачуну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пружању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надокнаде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споразумно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одређују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органи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сразмерно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врсти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количини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квалитету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услуга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уговора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као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значају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пружања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услуга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сваки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органа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ED258A" w:rsidRDefault="00ED258A" w:rsidP="00ED258A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8.</w:t>
      </w:r>
    </w:p>
    <w:p w:rsidR="00ED258A" w:rsidRDefault="00ED258A" w:rsidP="00ED258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Даном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ступања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снагу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уредбе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престају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важе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Уредба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обрачунавању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надокнаде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РС</w:t>
      </w:r>
      <w:r>
        <w:rPr>
          <w:rFonts w:ascii="Arial" w:hAnsi="Arial" w:cs="Arial"/>
          <w:color w:val="000000"/>
          <w:sz w:val="18"/>
          <w:szCs w:val="18"/>
        </w:rPr>
        <w:t>ˮ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91/15) </w:t>
      </w:r>
      <w:r>
        <w:rPr>
          <w:rFonts w:ascii="Verdana" w:hAnsi="Verdana" w:cs="Verdana"/>
          <w:color w:val="000000"/>
          <w:sz w:val="18"/>
          <w:szCs w:val="18"/>
        </w:rPr>
        <w:t>и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Уредба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о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Методологији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утврђивање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оправдане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пуне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цене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коштања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r>
        <w:rPr>
          <w:rFonts w:ascii="Verdana" w:hAnsi="Verdana" w:cs="Verdana"/>
          <w:color w:val="000000"/>
          <w:sz w:val="18"/>
          <w:szCs w:val="18"/>
        </w:rPr>
        <w:t>„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РС</w:t>
      </w:r>
      <w:r>
        <w:rPr>
          <w:rFonts w:ascii="Arial" w:hAnsi="Arial" w:cs="Arial"/>
          <w:color w:val="000000"/>
          <w:sz w:val="18"/>
          <w:szCs w:val="18"/>
        </w:rPr>
        <w:t>ˮ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76/09).</w:t>
      </w:r>
    </w:p>
    <w:p w:rsidR="00ED258A" w:rsidRDefault="00ED258A" w:rsidP="00ED258A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9.</w:t>
      </w:r>
    </w:p>
    <w:p w:rsidR="00ED258A" w:rsidRDefault="00ED258A" w:rsidP="00ED258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уредба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ступа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снагу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објављивања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Републике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Србије</w:t>
      </w:r>
      <w:r>
        <w:rPr>
          <w:rFonts w:ascii="Arial" w:hAnsi="Arial" w:cs="Arial"/>
          <w:color w:val="000000"/>
          <w:sz w:val="18"/>
          <w:szCs w:val="18"/>
        </w:rPr>
        <w:t>ˮ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ED258A" w:rsidRDefault="00ED258A" w:rsidP="00ED258A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05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110-8231/2019</w:t>
      </w:r>
    </w:p>
    <w:p w:rsidR="00ED258A" w:rsidRDefault="00ED258A" w:rsidP="00ED258A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Београду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29. </w:t>
      </w:r>
      <w:proofErr w:type="spellStart"/>
      <w:r>
        <w:rPr>
          <w:rFonts w:ascii="Verdana" w:hAnsi="Verdana"/>
          <w:color w:val="000000"/>
          <w:sz w:val="18"/>
          <w:szCs w:val="18"/>
        </w:rPr>
        <w:t>августа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2019.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</w:p>
    <w:p w:rsidR="00ED258A" w:rsidRDefault="00ED258A" w:rsidP="00ED258A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Влада</w:t>
      </w:r>
      <w:proofErr w:type="spellEnd"/>
    </w:p>
    <w:p w:rsidR="00ED258A" w:rsidRDefault="00ED258A" w:rsidP="00ED258A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Председник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ED258A" w:rsidRDefault="00ED258A" w:rsidP="00ED258A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Ана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Брнабић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,</w:t>
      </w:r>
      <w:r>
        <w:rPr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с.р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ED258A" w:rsidRDefault="00ED258A" w:rsidP="00ED258A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Прилози</w:t>
      </w:r>
      <w:proofErr w:type="spellEnd"/>
    </w:p>
    <w:p w:rsidR="00ED258A" w:rsidRDefault="00ED258A" w:rsidP="00ED258A">
      <w:pPr>
        <w:pStyle w:val="auto-style1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hyperlink r:id="rId4" w:tgtFrame="_blank" w:history="1"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Табела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1 -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Укупни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приходи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и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трошкови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превоза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путника</w:t>
        </w:r>
        <w:proofErr w:type="spellEnd"/>
      </w:hyperlink>
    </w:p>
    <w:p w:rsidR="00ED258A" w:rsidRDefault="00ED258A" w:rsidP="00ED258A">
      <w:pPr>
        <w:pStyle w:val="auto-style1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hyperlink r:id="rId5" w:tgtFrame="_blank" w:history="1"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Tабела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  2 -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Процењени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укупни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приходи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и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трошкови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потребни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за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израчунавање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надокнаде</w:t>
        </w:r>
        <w:proofErr w:type="spellEnd"/>
      </w:hyperlink>
    </w:p>
    <w:p w:rsidR="00ED258A" w:rsidRDefault="00ED258A" w:rsidP="00ED258A">
      <w:pPr>
        <w:pStyle w:val="auto-style1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hyperlink r:id="rId6" w:tgtFrame="_blank" w:history="1"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Табела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3 - 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Укупан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износ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надокнаде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за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обавезу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јавног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превоза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са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трошковима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приступа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инфраструктури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(у 000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рсд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>)</w:t>
        </w:r>
      </w:hyperlink>
    </w:p>
    <w:p w:rsidR="00E415D5" w:rsidRDefault="00ED258A"/>
    <w:sectPr w:rsidR="00E41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8A"/>
    <w:rsid w:val="000677B9"/>
    <w:rsid w:val="00256022"/>
    <w:rsid w:val="00312C6E"/>
    <w:rsid w:val="006030BA"/>
    <w:rsid w:val="00940CFC"/>
    <w:rsid w:val="00AF2EBF"/>
    <w:rsid w:val="00C51757"/>
    <w:rsid w:val="00DB33E3"/>
    <w:rsid w:val="00E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25154-601A-4EB4-B18A-90A5ED2E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ED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ED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ED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ED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D258A"/>
  </w:style>
  <w:style w:type="paragraph" w:customStyle="1" w:styleId="potpis">
    <w:name w:val="potpis"/>
    <w:basedOn w:val="Normal"/>
    <w:rsid w:val="00ED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">
    <w:name w:val="auto-style1"/>
    <w:basedOn w:val="Normal"/>
    <w:rsid w:val="00ED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2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vno-informacioni-sistem.rs/SlGlasnikPortal/prilozi/prilog3.html&amp;doctype=reg&amp;regactid=428964" TargetMode="External"/><Relationship Id="rId5" Type="http://schemas.openxmlformats.org/officeDocument/2006/relationships/hyperlink" Target="https://www.pravno-informacioni-sistem.rs/SlGlasnikPortal/prilozi/prilog2.html&amp;doctype=reg&amp;regactid=428964" TargetMode="External"/><Relationship Id="rId4" Type="http://schemas.openxmlformats.org/officeDocument/2006/relationships/hyperlink" Target="https://www.pravno-informacioni-sistem.rs/SlGlasnikPortal/prilozi/prilog1.html&amp;doctype=reg&amp;regactid=428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Isailović</dc:creator>
  <cp:keywords/>
  <dc:description/>
  <cp:lastModifiedBy>Marija Isailović</cp:lastModifiedBy>
  <cp:revision>1</cp:revision>
  <dcterms:created xsi:type="dcterms:W3CDTF">2021-05-19T11:27:00Z</dcterms:created>
  <dcterms:modified xsi:type="dcterms:W3CDTF">2021-05-19T11:30:00Z</dcterms:modified>
</cp:coreProperties>
</file>