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9C9C" w14:textId="77777777" w:rsidR="000049A7" w:rsidRPr="00E278B5" w:rsidRDefault="000049A7" w:rsidP="00A02CE5">
      <w:pPr>
        <w:spacing w:before="120" w:after="120"/>
        <w:ind w:right="6"/>
        <w:jc w:val="center"/>
        <w:rPr>
          <w:rFonts w:ascii="Arial" w:hAnsi="Arial" w:cs="Arial"/>
        </w:rPr>
      </w:pPr>
      <w:r w:rsidRPr="00E278B5">
        <w:rPr>
          <w:rFonts w:ascii="Arial" w:eastAsia="Times New Roman" w:hAnsi="Arial" w:cs="Arial"/>
          <w:b/>
        </w:rPr>
        <w:t>REQUEST FOR EXPRESSIONS OF INTEREST</w:t>
      </w:r>
    </w:p>
    <w:p w14:paraId="3BAB9044" w14:textId="77777777" w:rsidR="000049A7" w:rsidRPr="00E278B5" w:rsidRDefault="000049A7" w:rsidP="00A02CE5">
      <w:pPr>
        <w:spacing w:before="120" w:after="120"/>
        <w:ind w:left="48"/>
        <w:jc w:val="center"/>
        <w:rPr>
          <w:rFonts w:ascii="Arial" w:hAnsi="Arial" w:cs="Arial"/>
        </w:rPr>
      </w:pPr>
    </w:p>
    <w:p w14:paraId="3FCA456A" w14:textId="77777777" w:rsidR="000049A7" w:rsidRPr="00AB558E" w:rsidRDefault="000049A7" w:rsidP="00A02CE5">
      <w:pPr>
        <w:spacing w:before="120" w:after="120"/>
        <w:jc w:val="center"/>
        <w:rPr>
          <w:rFonts w:ascii="Arial" w:hAnsi="Arial" w:cs="Arial"/>
          <w:sz w:val="24"/>
          <w:szCs w:val="24"/>
        </w:rPr>
      </w:pPr>
      <w:r w:rsidRPr="00AB558E">
        <w:rPr>
          <w:rFonts w:ascii="Arial" w:eastAsia="Times New Roman" w:hAnsi="Arial" w:cs="Arial"/>
          <w:b/>
          <w:sz w:val="24"/>
          <w:szCs w:val="24"/>
        </w:rPr>
        <w:t>Republic of Serbia</w:t>
      </w:r>
    </w:p>
    <w:p w14:paraId="4DD5BCA3" w14:textId="77777777" w:rsidR="000049A7" w:rsidRPr="00AB558E" w:rsidRDefault="000049A7" w:rsidP="00A02CE5">
      <w:pPr>
        <w:spacing w:before="120" w:after="120"/>
        <w:ind w:right="6"/>
        <w:jc w:val="center"/>
        <w:rPr>
          <w:rFonts w:ascii="Arial" w:eastAsia="Times New Roman" w:hAnsi="Arial" w:cs="Arial"/>
          <w:b/>
          <w:sz w:val="24"/>
          <w:szCs w:val="24"/>
        </w:rPr>
      </w:pPr>
      <w:r w:rsidRPr="00AB558E">
        <w:rPr>
          <w:rFonts w:ascii="Arial" w:eastAsia="Times New Roman" w:hAnsi="Arial" w:cs="Arial"/>
          <w:b/>
          <w:sz w:val="24"/>
          <w:szCs w:val="24"/>
        </w:rPr>
        <w:t>The Serbia Railway Sector Modernization Project (SRSM)</w:t>
      </w:r>
    </w:p>
    <w:p w14:paraId="1BB29DD9" w14:textId="77777777" w:rsidR="000049A7" w:rsidRPr="00AB558E" w:rsidRDefault="000049A7" w:rsidP="00A02CE5">
      <w:pPr>
        <w:spacing w:before="120" w:after="120"/>
        <w:ind w:right="6"/>
        <w:jc w:val="center"/>
        <w:rPr>
          <w:rFonts w:ascii="Arial" w:hAnsi="Arial" w:cs="Arial"/>
          <w:sz w:val="24"/>
          <w:szCs w:val="24"/>
        </w:rPr>
      </w:pPr>
      <w:r w:rsidRPr="00AB558E">
        <w:rPr>
          <w:rFonts w:ascii="Arial" w:eastAsia="Times New Roman" w:hAnsi="Arial" w:cs="Arial"/>
          <w:sz w:val="24"/>
          <w:szCs w:val="24"/>
        </w:rPr>
        <w:t>Project ID No. P170868</w:t>
      </w:r>
    </w:p>
    <w:p w14:paraId="1B042813" w14:textId="77777777" w:rsidR="000049A7" w:rsidRPr="00E278B5" w:rsidRDefault="000049A7" w:rsidP="00A02CE5">
      <w:pPr>
        <w:spacing w:before="120" w:after="120"/>
        <w:jc w:val="both"/>
        <w:rPr>
          <w:rFonts w:ascii="Arial" w:hAnsi="Arial" w:cs="Arial"/>
        </w:rPr>
      </w:pPr>
      <w:r w:rsidRPr="00E278B5">
        <w:rPr>
          <w:rFonts w:ascii="Arial" w:hAnsi="Arial" w:cs="Arial"/>
        </w:rPr>
        <w:t xml:space="preserve"> </w:t>
      </w:r>
    </w:p>
    <w:p w14:paraId="7387DA54" w14:textId="77777777" w:rsidR="00AA6994" w:rsidRPr="00E278B5" w:rsidRDefault="00AA5B35" w:rsidP="008D2420">
      <w:pPr>
        <w:spacing w:before="120" w:after="120" w:line="251" w:lineRule="auto"/>
        <w:ind w:left="-5"/>
        <w:jc w:val="both"/>
        <w:rPr>
          <w:rFonts w:ascii="Arial" w:eastAsia="Times New Roman" w:hAnsi="Arial" w:cs="Arial"/>
          <w:b/>
        </w:rPr>
      </w:pPr>
      <w:r w:rsidRPr="00E278B5">
        <w:rPr>
          <w:rFonts w:ascii="Arial" w:eastAsia="Times New Roman" w:hAnsi="Arial" w:cs="Arial"/>
          <w:b/>
        </w:rPr>
        <w:t xml:space="preserve">Assignment Title: </w:t>
      </w:r>
    </w:p>
    <w:p w14:paraId="09822444" w14:textId="675F8C12" w:rsidR="000049A7" w:rsidRPr="00E278B5" w:rsidRDefault="00AA6994" w:rsidP="008D2420">
      <w:pPr>
        <w:spacing w:before="120" w:after="120" w:line="251" w:lineRule="auto"/>
        <w:ind w:left="-5"/>
        <w:jc w:val="both"/>
        <w:rPr>
          <w:rFonts w:ascii="Arial" w:eastAsia="Times New Roman" w:hAnsi="Arial" w:cs="Arial"/>
          <w:b/>
        </w:rPr>
      </w:pPr>
      <w:r w:rsidRPr="00E278B5">
        <w:rPr>
          <w:rFonts w:ascii="Arial" w:eastAsia="Times New Roman" w:hAnsi="Arial" w:cs="Arial"/>
          <w:b/>
        </w:rPr>
        <w:t>LEGAL CONSULTING SERVICES DISPUTES ANALYSIS OF SERBIAN RAILWAY COMPANIES, Reference No. SER-SRSM-CQ-CS-21-26</w:t>
      </w:r>
    </w:p>
    <w:p w14:paraId="60B6037E" w14:textId="77777777" w:rsidR="00A02CE5" w:rsidRPr="00E278B5" w:rsidRDefault="00A02CE5" w:rsidP="00A02CE5">
      <w:pPr>
        <w:spacing w:before="120" w:after="120" w:line="240" w:lineRule="atLeast"/>
        <w:jc w:val="both"/>
        <w:rPr>
          <w:rFonts w:ascii="Arial" w:hAnsi="Arial" w:cs="Arial"/>
        </w:rPr>
      </w:pPr>
    </w:p>
    <w:p w14:paraId="41B0DADB" w14:textId="77777777" w:rsidR="000049A7" w:rsidRPr="00E278B5" w:rsidRDefault="000049A7" w:rsidP="00E278B5">
      <w:pPr>
        <w:spacing w:before="120" w:after="120" w:line="240" w:lineRule="auto"/>
        <w:jc w:val="both"/>
        <w:rPr>
          <w:rFonts w:ascii="Arial" w:hAnsi="Arial" w:cs="Arial"/>
        </w:rPr>
      </w:pPr>
      <w:r w:rsidRPr="00E278B5">
        <w:rPr>
          <w:rFonts w:ascii="Arial" w:hAnsi="Arial" w:cs="Arial"/>
        </w:rPr>
        <w:t>The International Bank for Reconstruction and Development (IBRD) launched the Multiphase Programmatic Approach (MPA) to support the Government of Serbia</w:t>
      </w:r>
      <w:r w:rsidR="007F51B1" w:rsidRPr="00E278B5">
        <w:rPr>
          <w:rFonts w:ascii="Arial" w:hAnsi="Arial" w:cs="Arial"/>
        </w:rPr>
        <w:t xml:space="preserve"> (</w:t>
      </w:r>
      <w:proofErr w:type="spellStart"/>
      <w:r w:rsidR="007F51B1" w:rsidRPr="00E278B5">
        <w:rPr>
          <w:rFonts w:ascii="Arial" w:hAnsi="Arial" w:cs="Arial"/>
        </w:rPr>
        <w:t>GoS</w:t>
      </w:r>
      <w:proofErr w:type="spellEnd"/>
      <w:r w:rsidR="007F51B1" w:rsidRPr="00E278B5">
        <w:rPr>
          <w:rFonts w:ascii="Arial" w:hAnsi="Arial" w:cs="Arial"/>
        </w:rPr>
        <w:t>)</w:t>
      </w:r>
      <w:r w:rsidRPr="00E278B5">
        <w:rPr>
          <w:rFonts w:ascii="Arial" w:hAnsi="Arial" w:cs="Arial"/>
        </w:rPr>
        <w:t xml:space="preserve"> in continuation of institutional, physical and operational modernization of the railway sector in an integrated manner through providing financial support to Serbia Railway Sector Modernization Project as part of the Multiphase Programmatic Approach to be implemented in three overlapping phases over the ten-year period.</w:t>
      </w:r>
    </w:p>
    <w:p w14:paraId="38C8D47B" w14:textId="77777777" w:rsidR="000049A7" w:rsidRPr="00E278B5" w:rsidRDefault="000049A7" w:rsidP="00E278B5">
      <w:pPr>
        <w:spacing w:before="120" w:after="120" w:line="240" w:lineRule="auto"/>
        <w:jc w:val="both"/>
        <w:rPr>
          <w:rFonts w:ascii="Arial" w:hAnsi="Arial" w:cs="Arial"/>
        </w:rPr>
      </w:pPr>
      <w:r w:rsidRPr="00E278B5">
        <w:rPr>
          <w:rFonts w:ascii="Arial" w:hAnsi="Arial" w:cs="Arial"/>
        </w:rPr>
        <w:t xml:space="preserve">For the purpose of financing Serbia Railway Sector Modernization Project, Phase 1 of the MPA, IBRD and the </w:t>
      </w:r>
      <w:proofErr w:type="spellStart"/>
      <w:r w:rsidRPr="00E278B5">
        <w:rPr>
          <w:rFonts w:ascii="Arial" w:hAnsi="Arial" w:cs="Arial"/>
        </w:rPr>
        <w:t>Agence</w:t>
      </w:r>
      <w:proofErr w:type="spellEnd"/>
      <w:r w:rsidRPr="00E278B5">
        <w:rPr>
          <w:rFonts w:ascii="Arial" w:hAnsi="Arial" w:cs="Arial"/>
        </w:rPr>
        <w:t xml:space="preserve"> </w:t>
      </w:r>
      <w:proofErr w:type="spellStart"/>
      <w:r w:rsidRPr="00E278B5">
        <w:rPr>
          <w:rFonts w:ascii="Arial" w:hAnsi="Arial" w:cs="Arial"/>
        </w:rPr>
        <w:t>Francaise</w:t>
      </w:r>
      <w:proofErr w:type="spellEnd"/>
      <w:r w:rsidRPr="00E278B5">
        <w:rPr>
          <w:rFonts w:ascii="Arial" w:hAnsi="Arial" w:cs="Arial"/>
        </w:rPr>
        <w:t xml:space="preserve"> de </w:t>
      </w:r>
      <w:proofErr w:type="spellStart"/>
      <w:r w:rsidRPr="00E278B5">
        <w:rPr>
          <w:rFonts w:ascii="Arial" w:hAnsi="Arial" w:cs="Arial"/>
        </w:rPr>
        <w:t>Développement</w:t>
      </w:r>
      <w:proofErr w:type="spellEnd"/>
      <w:r w:rsidRPr="00E278B5">
        <w:rPr>
          <w:rFonts w:ascii="Arial" w:hAnsi="Arial" w:cs="Arial"/>
        </w:rPr>
        <w:t xml:space="preserve"> (AFD), jointly, granted to the Republic of Serbia EUR 102 million loan to support enhancing the efficiency and safety of existing railway assets and improving governance and institutional capacity of the railway sector.</w:t>
      </w:r>
    </w:p>
    <w:p w14:paraId="5224D2F4" w14:textId="47033067" w:rsidR="00AA6994" w:rsidRPr="00E278B5" w:rsidRDefault="000049A7" w:rsidP="00E278B5">
      <w:pPr>
        <w:spacing w:after="0" w:line="240" w:lineRule="auto"/>
        <w:jc w:val="both"/>
        <w:rPr>
          <w:rFonts w:ascii="Arial" w:hAnsi="Arial" w:cs="Arial"/>
        </w:rPr>
      </w:pPr>
      <w:r w:rsidRPr="00E278B5">
        <w:rPr>
          <w:rFonts w:ascii="Arial" w:eastAsia="Times New Roman" w:hAnsi="Arial" w:cs="Arial"/>
          <w:b/>
        </w:rPr>
        <w:t>The scope of work</w:t>
      </w:r>
      <w:r w:rsidRPr="00E278B5">
        <w:rPr>
          <w:rFonts w:ascii="Arial" w:hAnsi="Arial" w:cs="Arial"/>
        </w:rPr>
        <w:t xml:space="preserve"> of the </w:t>
      </w:r>
      <w:r w:rsidR="00AA6994" w:rsidRPr="00E278B5">
        <w:rPr>
          <w:rFonts w:ascii="Arial" w:hAnsi="Arial" w:cs="Arial"/>
        </w:rPr>
        <w:t>Consultant</w:t>
      </w:r>
      <w:r w:rsidRPr="00E278B5">
        <w:rPr>
          <w:rFonts w:ascii="Arial" w:hAnsi="Arial" w:cs="Arial"/>
        </w:rPr>
        <w:t xml:space="preserve"> </w:t>
      </w:r>
      <w:r w:rsidR="00AA6994" w:rsidRPr="00E278B5">
        <w:rPr>
          <w:rFonts w:ascii="Arial" w:hAnsi="Arial" w:cs="Arial"/>
        </w:rPr>
        <w:t>is to perform a case analysis with recommendations for further action and instructions on how to implement the proposed solutions, with the following objectives:</w:t>
      </w:r>
    </w:p>
    <w:p w14:paraId="69BDCE8D"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Providing a legal analysis of all ongoing labor lawsuits in four Railway companies;</w:t>
      </w:r>
    </w:p>
    <w:p w14:paraId="31A9F75A"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Estimating on case-by-case basis the probability of trial outcomes;</w:t>
      </w:r>
    </w:p>
    <w:p w14:paraId="60830266"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Proposing a strategy on how to resolve the issue through mechanisms such as out of court/court settlement;</w:t>
      </w:r>
    </w:p>
    <w:p w14:paraId="1CFFE091"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Providing advice on how to create a robust implementation process for the proposed strategy;</w:t>
      </w:r>
    </w:p>
    <w:p w14:paraId="1F56E887"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Estimate expected cost savings in term of court fees, plaintiff's legal fees and PEA's fees;</w:t>
      </w:r>
    </w:p>
    <w:p w14:paraId="64235251" w14:textId="77777777" w:rsidR="00AA6994" w:rsidRPr="00E278B5" w:rsidRDefault="00AA6994" w:rsidP="00E278B5">
      <w:pPr>
        <w:pStyle w:val="ListParagraph"/>
        <w:numPr>
          <w:ilvl w:val="0"/>
          <w:numId w:val="8"/>
        </w:numPr>
        <w:spacing w:after="0" w:line="240" w:lineRule="auto"/>
        <w:jc w:val="both"/>
        <w:rPr>
          <w:rFonts w:ascii="Arial" w:hAnsi="Arial" w:cs="Arial"/>
        </w:rPr>
      </w:pPr>
      <w:r w:rsidRPr="00E278B5">
        <w:rPr>
          <w:rFonts w:ascii="Arial" w:hAnsi="Arial" w:cs="Arial"/>
        </w:rPr>
        <w:t>Support to railway companies in validation of the proposed process with all relevant stakeholders including but not limited to State Attorney's Office, State Audit Institution etc.</w:t>
      </w:r>
    </w:p>
    <w:p w14:paraId="45B5C16F" w14:textId="3FE70E69" w:rsidR="000049A7" w:rsidRPr="00E278B5" w:rsidRDefault="00AA6994" w:rsidP="00E278B5">
      <w:pPr>
        <w:spacing w:before="120" w:after="120" w:line="240" w:lineRule="auto"/>
        <w:jc w:val="both"/>
        <w:rPr>
          <w:rFonts w:ascii="Arial" w:hAnsi="Arial" w:cs="Arial"/>
        </w:rPr>
      </w:pPr>
      <w:r w:rsidRPr="00E278B5">
        <w:rPr>
          <w:rFonts w:ascii="Arial" w:hAnsi="Arial" w:cs="Arial"/>
        </w:rPr>
        <w:t xml:space="preserve">Bearing in mind that the Railway companies report to </w:t>
      </w:r>
      <w:proofErr w:type="spellStart"/>
      <w:r w:rsidRPr="00E278B5">
        <w:rPr>
          <w:rFonts w:ascii="Arial" w:hAnsi="Arial" w:cs="Arial"/>
        </w:rPr>
        <w:t>MoCTI</w:t>
      </w:r>
      <w:proofErr w:type="spellEnd"/>
      <w:r w:rsidRPr="00E278B5">
        <w:rPr>
          <w:rFonts w:ascii="Arial" w:hAnsi="Arial" w:cs="Arial"/>
        </w:rPr>
        <w:t xml:space="preserve"> and that their business is subject to periodic supervision by the State Auditor, the Consultant will provide support to the Railway companies and </w:t>
      </w:r>
      <w:proofErr w:type="spellStart"/>
      <w:r w:rsidRPr="00E278B5">
        <w:rPr>
          <w:rFonts w:ascii="Arial" w:hAnsi="Arial" w:cs="Arial"/>
        </w:rPr>
        <w:t>MoCTI</w:t>
      </w:r>
      <w:proofErr w:type="spellEnd"/>
      <w:r w:rsidRPr="00E278B5">
        <w:rPr>
          <w:rFonts w:ascii="Arial" w:hAnsi="Arial" w:cs="Arial"/>
        </w:rPr>
        <w:t xml:space="preserve"> in correspondence with supervisory state institutions, in purpose of proper and legal implementation of the proposed solutions that are an integral part of the legal analysis.</w:t>
      </w:r>
    </w:p>
    <w:p w14:paraId="3E2C3FE6" w14:textId="77777777" w:rsidR="000049A7" w:rsidRPr="00E278B5" w:rsidRDefault="000049A7" w:rsidP="00E278B5">
      <w:pPr>
        <w:spacing w:before="120" w:after="120" w:line="240" w:lineRule="auto"/>
        <w:ind w:left="-5"/>
        <w:jc w:val="both"/>
        <w:rPr>
          <w:rFonts w:ascii="Arial" w:hAnsi="Arial" w:cs="Arial"/>
        </w:rPr>
      </w:pPr>
      <w:r w:rsidRPr="00E278B5">
        <w:rPr>
          <w:rFonts w:ascii="Arial" w:eastAsia="Times New Roman" w:hAnsi="Arial" w:cs="Arial"/>
          <w:b/>
        </w:rPr>
        <w:t>Minimum qualifications requirements required</w:t>
      </w:r>
      <w:r w:rsidRPr="00E278B5">
        <w:rPr>
          <w:rFonts w:ascii="Arial" w:hAnsi="Arial" w:cs="Arial"/>
        </w:rPr>
        <w:t xml:space="preserve">:   </w:t>
      </w:r>
    </w:p>
    <w:p w14:paraId="2BD66939" w14:textId="77777777" w:rsidR="00AA6994" w:rsidRPr="00E278B5" w:rsidRDefault="00AA6994" w:rsidP="00E278B5">
      <w:pPr>
        <w:pStyle w:val="Body"/>
        <w:jc w:val="both"/>
        <w:rPr>
          <w:rFonts w:ascii="Arial" w:eastAsia="MS Mincho" w:hAnsi="Arial" w:cs="Arial"/>
          <w:color w:val="auto"/>
          <w:sz w:val="22"/>
          <w:szCs w:val="22"/>
          <w:bdr w:val="none" w:sz="0" w:space="0" w:color="auto"/>
        </w:rPr>
      </w:pPr>
      <w:r w:rsidRPr="00E278B5">
        <w:rPr>
          <w:rFonts w:ascii="Arial" w:eastAsia="MS Mincho" w:hAnsi="Arial" w:cs="Arial"/>
          <w:color w:val="auto"/>
          <w:sz w:val="22"/>
          <w:szCs w:val="22"/>
          <w:bdr w:val="none" w:sz="0" w:space="0" w:color="auto"/>
        </w:rPr>
        <w:t xml:space="preserve">The assignment will require a qualified consulting firm that can demonstrate extensive experience in Labor disputes </w:t>
      </w:r>
      <w:r w:rsidRPr="00E278B5">
        <w:rPr>
          <w:rFonts w:ascii="Arial" w:hAnsi="Arial" w:cs="Arial"/>
          <w:sz w:val="22"/>
          <w:szCs w:val="22"/>
        </w:rPr>
        <w:t>in accordance with Serbian legislation.</w:t>
      </w:r>
    </w:p>
    <w:p w14:paraId="5B8F8786" w14:textId="77777777" w:rsidR="00AA6994" w:rsidRPr="00E278B5" w:rsidRDefault="00AA6994" w:rsidP="00E278B5">
      <w:pPr>
        <w:spacing w:after="0" w:line="240" w:lineRule="auto"/>
        <w:jc w:val="both"/>
        <w:rPr>
          <w:rFonts w:ascii="Arial" w:hAnsi="Arial" w:cs="Arial"/>
        </w:rPr>
      </w:pPr>
    </w:p>
    <w:p w14:paraId="2C4EF506" w14:textId="1E2095F5" w:rsidR="00AA6994" w:rsidRPr="00E278B5" w:rsidRDefault="00AA6994" w:rsidP="00E278B5">
      <w:pPr>
        <w:spacing w:after="0" w:line="240" w:lineRule="auto"/>
        <w:jc w:val="both"/>
        <w:rPr>
          <w:rFonts w:ascii="Arial" w:hAnsi="Arial" w:cs="Arial"/>
        </w:rPr>
      </w:pPr>
      <w:r w:rsidRPr="00E278B5">
        <w:rPr>
          <w:rFonts w:ascii="Arial" w:hAnsi="Arial" w:cs="Arial"/>
        </w:rPr>
        <w:t xml:space="preserve">The following criteria will be applied to all consulting firms that have submitted </w:t>
      </w:r>
      <w:proofErr w:type="spellStart"/>
      <w:r w:rsidRPr="00E278B5">
        <w:rPr>
          <w:rFonts w:ascii="Arial" w:hAnsi="Arial" w:cs="Arial"/>
        </w:rPr>
        <w:t>EoI</w:t>
      </w:r>
      <w:proofErr w:type="spellEnd"/>
      <w:r w:rsidRPr="00E278B5">
        <w:rPr>
          <w:rFonts w:ascii="Arial" w:hAnsi="Arial" w:cs="Arial"/>
        </w:rPr>
        <w:t>:</w:t>
      </w:r>
    </w:p>
    <w:p w14:paraId="6C1ABCBF" w14:textId="77777777" w:rsidR="00AA6994" w:rsidRPr="00E278B5" w:rsidRDefault="00AA6994" w:rsidP="00E278B5">
      <w:pPr>
        <w:spacing w:after="0" w:line="240" w:lineRule="auto"/>
        <w:jc w:val="both"/>
        <w:rPr>
          <w:rFonts w:ascii="Arial" w:hAnsi="Arial" w:cs="Arial"/>
        </w:rPr>
      </w:pPr>
    </w:p>
    <w:p w14:paraId="58C7D5DC" w14:textId="77777777"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lastRenderedPageBreak/>
        <w:t xml:space="preserve">The Consultant must be Law Firm, with Team at least of 10 attorneys at law, </w:t>
      </w:r>
    </w:p>
    <w:p w14:paraId="0564371C" w14:textId="7C0CF64B"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t>The Consultant must have at least three senior attorneys with minimum eight years of experience in the field of Labor Law, at least two attorneys specialized in labor disputes and one advisor specialist with not less than six years of experience in labor law relations,</w:t>
      </w:r>
    </w:p>
    <w:p w14:paraId="70A2ED02" w14:textId="77777777"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t xml:space="preserve">The Consultant – Law office or its members must be registered in The Register of Bidders on the Serbian Business Registers Agency, </w:t>
      </w:r>
    </w:p>
    <w:p w14:paraId="356B5CA4" w14:textId="0F6909A5"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t>The Consultant provided labor law services for at least 5 legal entities that employ more than 50 employees in past 10 years,</w:t>
      </w:r>
    </w:p>
    <w:p w14:paraId="72CDBD3E" w14:textId="77777777"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t xml:space="preserve">The Consultant provided legal services of representing employers in at least 200 labor disputes, </w:t>
      </w:r>
      <w:bookmarkStart w:id="0" w:name="_Hlk104888447"/>
    </w:p>
    <w:bookmarkEnd w:id="0"/>
    <w:p w14:paraId="59E1E02B" w14:textId="64CC4457" w:rsidR="00AA6994" w:rsidRPr="00E278B5" w:rsidRDefault="00AA6994" w:rsidP="00E278B5">
      <w:pPr>
        <w:numPr>
          <w:ilvl w:val="0"/>
          <w:numId w:val="9"/>
        </w:numPr>
        <w:spacing w:after="0" w:line="240" w:lineRule="auto"/>
        <w:jc w:val="both"/>
        <w:rPr>
          <w:rFonts w:ascii="Arial" w:hAnsi="Arial" w:cs="Arial"/>
        </w:rPr>
      </w:pPr>
      <w:r w:rsidRPr="00E278B5">
        <w:rPr>
          <w:rFonts w:ascii="Arial" w:hAnsi="Arial" w:cs="Arial"/>
        </w:rPr>
        <w:t>The Consultant provided legal services of representing employers in at least 5 collective labor disputes.</w:t>
      </w:r>
    </w:p>
    <w:p w14:paraId="4961BA25" w14:textId="77777777" w:rsidR="00AA6994" w:rsidRPr="00E278B5" w:rsidRDefault="00AA6994" w:rsidP="00E278B5">
      <w:pPr>
        <w:spacing w:after="0" w:line="240" w:lineRule="auto"/>
        <w:jc w:val="both"/>
        <w:rPr>
          <w:rFonts w:ascii="Arial" w:hAnsi="Arial" w:cs="Arial"/>
        </w:rPr>
      </w:pPr>
    </w:p>
    <w:p w14:paraId="452F0631" w14:textId="77777777" w:rsidR="00AA6994" w:rsidRPr="00E278B5" w:rsidRDefault="00AA6994" w:rsidP="00E278B5">
      <w:pPr>
        <w:pStyle w:val="Body"/>
        <w:jc w:val="both"/>
        <w:rPr>
          <w:rFonts w:ascii="Arial" w:hAnsi="Arial" w:cs="Arial"/>
          <w:sz w:val="22"/>
          <w:szCs w:val="22"/>
        </w:rPr>
      </w:pPr>
      <w:r w:rsidRPr="00E278B5">
        <w:rPr>
          <w:rFonts w:ascii="Arial" w:hAnsi="Arial" w:cs="Arial"/>
          <w:sz w:val="22"/>
          <w:szCs w:val="22"/>
        </w:rPr>
        <w:t>As a proof, the Consultant firm shall prepare: necessary certificates, list of proposed Team with qualifications of proposed experts (with necessary certificates from Serbian Bar Association and signed statements) and representative list of clients in the form of table, listing following information: type of service provided to the client with year of providing services (and other data if it is possible).</w:t>
      </w:r>
    </w:p>
    <w:p w14:paraId="349B05E1" w14:textId="77777777" w:rsidR="00E278B5" w:rsidRPr="00E278B5" w:rsidRDefault="00E278B5" w:rsidP="00E278B5">
      <w:pPr>
        <w:pStyle w:val="Body"/>
        <w:jc w:val="both"/>
        <w:rPr>
          <w:rFonts w:ascii="Arial" w:hAnsi="Arial" w:cs="Arial"/>
          <w:sz w:val="22"/>
          <w:szCs w:val="22"/>
        </w:rPr>
      </w:pPr>
    </w:p>
    <w:p w14:paraId="6E5C2F56" w14:textId="78D7E671" w:rsidR="00AA6994" w:rsidRPr="00E278B5" w:rsidRDefault="00AA6994" w:rsidP="00E278B5">
      <w:pPr>
        <w:pStyle w:val="Body"/>
        <w:jc w:val="both"/>
        <w:rPr>
          <w:rFonts w:ascii="Arial" w:hAnsi="Arial" w:cs="Arial"/>
          <w:sz w:val="22"/>
          <w:szCs w:val="22"/>
        </w:rPr>
      </w:pPr>
      <w:r w:rsidRPr="00E278B5">
        <w:rPr>
          <w:rFonts w:ascii="Arial" w:hAnsi="Arial" w:cs="Arial"/>
          <w:sz w:val="22"/>
          <w:szCs w:val="22"/>
        </w:rPr>
        <w:t>In addition, The Consultant shall establish his Team in accordance with th</w:t>
      </w:r>
      <w:r w:rsidR="00E278B5" w:rsidRPr="00E278B5">
        <w:rPr>
          <w:rFonts w:ascii="Arial" w:hAnsi="Arial" w:cs="Arial"/>
          <w:sz w:val="22"/>
          <w:szCs w:val="22"/>
        </w:rPr>
        <w:t>e needs and requirements of the</w:t>
      </w:r>
      <w:r w:rsidRPr="00E278B5">
        <w:rPr>
          <w:rFonts w:ascii="Arial" w:hAnsi="Arial" w:cs="Arial"/>
          <w:sz w:val="22"/>
          <w:szCs w:val="22"/>
        </w:rPr>
        <w:t xml:space="preserve"> </w:t>
      </w:r>
      <w:proofErr w:type="spellStart"/>
      <w:r w:rsidRPr="00E278B5">
        <w:rPr>
          <w:rFonts w:ascii="Arial" w:hAnsi="Arial" w:cs="Arial"/>
          <w:sz w:val="22"/>
          <w:szCs w:val="22"/>
        </w:rPr>
        <w:t>ToR</w:t>
      </w:r>
      <w:proofErr w:type="spellEnd"/>
      <w:r w:rsidRPr="00E278B5">
        <w:rPr>
          <w:rFonts w:ascii="Arial" w:hAnsi="Arial" w:cs="Arial"/>
          <w:sz w:val="22"/>
          <w:szCs w:val="22"/>
        </w:rPr>
        <w:t>. The Team shall consist of minimum:</w:t>
      </w:r>
    </w:p>
    <w:p w14:paraId="175C3B95" w14:textId="0E9C5D63" w:rsidR="00A11D84" w:rsidRPr="00E278B5" w:rsidRDefault="00AA6994" w:rsidP="00E278B5">
      <w:pPr>
        <w:pStyle w:val="ListParagraph"/>
        <w:numPr>
          <w:ilvl w:val="0"/>
          <w:numId w:val="11"/>
        </w:numPr>
        <w:spacing w:before="120" w:after="120" w:line="240" w:lineRule="auto"/>
        <w:contextualSpacing w:val="0"/>
        <w:jc w:val="both"/>
        <w:rPr>
          <w:rFonts w:ascii="Arial" w:hAnsi="Arial" w:cs="Arial"/>
        </w:rPr>
      </w:pPr>
      <w:r w:rsidRPr="00E278B5">
        <w:rPr>
          <w:rFonts w:ascii="Arial" w:hAnsi="Arial" w:cs="Arial"/>
          <w:lang w:val="en-GB"/>
        </w:rPr>
        <w:t xml:space="preserve">Team Leader - </w:t>
      </w:r>
      <w:r w:rsidRPr="00E278B5">
        <w:rPr>
          <w:rFonts w:ascii="Arial" w:hAnsi="Arial" w:cs="Arial"/>
        </w:rPr>
        <w:t>Senior attorney</w:t>
      </w:r>
    </w:p>
    <w:p w14:paraId="1E698EBE" w14:textId="78A4BA6B" w:rsidR="00AA6994" w:rsidRPr="00E278B5" w:rsidRDefault="00AA6994" w:rsidP="00E278B5">
      <w:pPr>
        <w:pStyle w:val="ListParagraph"/>
        <w:numPr>
          <w:ilvl w:val="0"/>
          <w:numId w:val="11"/>
        </w:numPr>
        <w:spacing w:before="120" w:after="120" w:line="240" w:lineRule="auto"/>
        <w:contextualSpacing w:val="0"/>
        <w:jc w:val="both"/>
        <w:rPr>
          <w:rFonts w:ascii="Arial" w:hAnsi="Arial" w:cs="Arial"/>
        </w:rPr>
      </w:pPr>
      <w:r w:rsidRPr="00E278B5">
        <w:rPr>
          <w:rFonts w:ascii="Arial" w:hAnsi="Arial" w:cs="Arial"/>
          <w:lang w:val="en-GB"/>
        </w:rPr>
        <w:t>Senior Attorneys (specialised for Labour disputes)-Deputy team leader</w:t>
      </w:r>
    </w:p>
    <w:p w14:paraId="62909647" w14:textId="63D2C67D" w:rsidR="00AA6994" w:rsidRPr="00E278B5" w:rsidRDefault="00AA6994" w:rsidP="00E278B5">
      <w:pPr>
        <w:pStyle w:val="ListParagraph"/>
        <w:numPr>
          <w:ilvl w:val="0"/>
          <w:numId w:val="11"/>
        </w:numPr>
        <w:spacing w:before="120" w:after="120" w:line="240" w:lineRule="auto"/>
        <w:contextualSpacing w:val="0"/>
        <w:jc w:val="both"/>
        <w:rPr>
          <w:rFonts w:ascii="Arial" w:hAnsi="Arial" w:cs="Arial"/>
        </w:rPr>
      </w:pPr>
      <w:r w:rsidRPr="00E278B5">
        <w:rPr>
          <w:rFonts w:ascii="Arial" w:hAnsi="Arial" w:cs="Arial"/>
          <w:lang w:val="en-GB"/>
        </w:rPr>
        <w:t>Attorneys (specialised for Labour disputes)</w:t>
      </w:r>
    </w:p>
    <w:p w14:paraId="281585E0" w14:textId="2A5567DF" w:rsidR="00AA6994" w:rsidRPr="00E278B5" w:rsidRDefault="00AA6994" w:rsidP="00E278B5">
      <w:pPr>
        <w:pStyle w:val="ListParagraph"/>
        <w:numPr>
          <w:ilvl w:val="0"/>
          <w:numId w:val="11"/>
        </w:numPr>
        <w:spacing w:before="120" w:after="120" w:line="240" w:lineRule="auto"/>
        <w:contextualSpacing w:val="0"/>
        <w:jc w:val="both"/>
        <w:rPr>
          <w:rFonts w:ascii="Arial" w:hAnsi="Arial" w:cs="Arial"/>
        </w:rPr>
      </w:pPr>
      <w:r w:rsidRPr="00E278B5">
        <w:rPr>
          <w:rFonts w:ascii="Arial" w:hAnsi="Arial" w:cs="Arial"/>
          <w:lang w:val="en-GB"/>
        </w:rPr>
        <w:t>Attorneys (specialised for Labour law relations)</w:t>
      </w:r>
    </w:p>
    <w:p w14:paraId="305A1B35" w14:textId="77777777" w:rsidR="00E278B5" w:rsidRPr="00E278B5" w:rsidRDefault="00E278B5" w:rsidP="00E278B5">
      <w:pPr>
        <w:pStyle w:val="Heading2"/>
        <w:spacing w:line="240" w:lineRule="auto"/>
        <w:rPr>
          <w:rFonts w:ascii="Arial" w:hAnsi="Arial" w:cs="Arial"/>
          <w:color w:val="auto"/>
          <w:sz w:val="22"/>
          <w:szCs w:val="22"/>
        </w:rPr>
      </w:pPr>
    </w:p>
    <w:p w14:paraId="6C99963A" w14:textId="16F42C74" w:rsidR="00E278B5" w:rsidRPr="00E278B5" w:rsidRDefault="00E278B5" w:rsidP="00E278B5">
      <w:pPr>
        <w:pStyle w:val="Heading2"/>
        <w:spacing w:line="240" w:lineRule="auto"/>
        <w:rPr>
          <w:rFonts w:ascii="Arial" w:hAnsi="Arial" w:cs="Arial"/>
          <w:color w:val="auto"/>
          <w:sz w:val="22"/>
          <w:szCs w:val="22"/>
        </w:rPr>
      </w:pPr>
      <w:r w:rsidRPr="00E278B5">
        <w:rPr>
          <w:rFonts w:ascii="Arial" w:hAnsi="Arial" w:cs="Arial"/>
          <w:color w:val="auto"/>
          <w:sz w:val="22"/>
          <w:szCs w:val="22"/>
        </w:rPr>
        <w:t xml:space="preserve">Consultant will be selected using the Consultant Qualification Selection (CQS) method.  </w:t>
      </w:r>
    </w:p>
    <w:p w14:paraId="5B250FF4" w14:textId="77777777" w:rsidR="00E278B5" w:rsidRPr="00E278B5" w:rsidRDefault="00E278B5" w:rsidP="00E278B5">
      <w:pPr>
        <w:pStyle w:val="Heading2"/>
        <w:spacing w:line="240" w:lineRule="auto"/>
        <w:rPr>
          <w:rFonts w:ascii="Arial" w:hAnsi="Arial" w:cs="Arial"/>
          <w:color w:val="auto"/>
          <w:sz w:val="22"/>
          <w:szCs w:val="22"/>
        </w:rPr>
      </w:pPr>
      <w:r w:rsidRPr="00E278B5">
        <w:rPr>
          <w:rFonts w:ascii="Arial" w:hAnsi="Arial" w:cs="Arial"/>
          <w:color w:val="auto"/>
          <w:sz w:val="22"/>
          <w:szCs w:val="22"/>
        </w:rPr>
        <w:t>Expressions of interest will be evaluated by applying the following criteria with allocated points:</w:t>
      </w:r>
    </w:p>
    <w:p w14:paraId="37E1D83C" w14:textId="77777777" w:rsidR="00E278B5" w:rsidRPr="00E278B5" w:rsidRDefault="00E278B5" w:rsidP="00E278B5">
      <w:pPr>
        <w:spacing w:after="0" w:line="240" w:lineRule="auto"/>
        <w:rPr>
          <w:rFonts w:ascii="Arial" w:hAnsi="Arial" w:cs="Arial"/>
        </w:rPr>
      </w:pPr>
    </w:p>
    <w:p w14:paraId="6E315268" w14:textId="77777777" w:rsidR="00E278B5" w:rsidRPr="00E278B5" w:rsidRDefault="00E278B5" w:rsidP="00E278B5">
      <w:pPr>
        <w:spacing w:line="240" w:lineRule="auto"/>
        <w:rPr>
          <w:rFonts w:ascii="Arial" w:hAnsi="Arial" w:cs="Arial"/>
        </w:rPr>
      </w:pPr>
      <w:r w:rsidRPr="00E278B5">
        <w:rPr>
          <w:rFonts w:ascii="Arial" w:hAnsi="Arial" w:cs="Arial"/>
        </w:rPr>
        <w:t>General experience – 10 points</w:t>
      </w:r>
    </w:p>
    <w:p w14:paraId="75334D19" w14:textId="77777777" w:rsidR="00E278B5" w:rsidRPr="00E278B5" w:rsidRDefault="00E278B5" w:rsidP="00E278B5">
      <w:pPr>
        <w:spacing w:line="240" w:lineRule="auto"/>
        <w:rPr>
          <w:rFonts w:ascii="Arial" w:hAnsi="Arial" w:cs="Arial"/>
        </w:rPr>
      </w:pPr>
      <w:r w:rsidRPr="00E278B5">
        <w:rPr>
          <w:rFonts w:ascii="Arial" w:hAnsi="Arial" w:cs="Arial"/>
        </w:rPr>
        <w:t>Specific experience related to the assignment – 40 points</w:t>
      </w:r>
    </w:p>
    <w:p w14:paraId="4C21B8E2" w14:textId="77777777" w:rsidR="00E278B5" w:rsidRPr="00E278B5" w:rsidRDefault="00E278B5" w:rsidP="00E278B5">
      <w:pPr>
        <w:spacing w:line="240" w:lineRule="auto"/>
        <w:rPr>
          <w:rFonts w:ascii="Arial" w:hAnsi="Arial" w:cs="Arial"/>
        </w:rPr>
      </w:pPr>
      <w:r w:rsidRPr="00E278B5">
        <w:rPr>
          <w:rFonts w:ascii="Arial" w:hAnsi="Arial" w:cs="Arial"/>
        </w:rPr>
        <w:t>Qualifications of key experts – 50</w:t>
      </w:r>
    </w:p>
    <w:p w14:paraId="44BE993B" w14:textId="3F0BAE2A" w:rsidR="00E278B5" w:rsidRPr="00E278B5" w:rsidRDefault="00E278B5" w:rsidP="00E278B5">
      <w:pPr>
        <w:spacing w:line="240" w:lineRule="auto"/>
        <w:rPr>
          <w:rFonts w:ascii="Arial" w:hAnsi="Arial" w:cs="Arial"/>
        </w:rPr>
      </w:pPr>
      <w:r w:rsidRPr="00E278B5">
        <w:rPr>
          <w:rFonts w:ascii="Arial" w:hAnsi="Arial" w:cs="Arial"/>
        </w:rPr>
        <w:t>Key experts will be evaluated based on the following criteria and points:</w:t>
      </w:r>
    </w:p>
    <w:p w14:paraId="5F09522F" w14:textId="0BD29B85" w:rsidR="00E278B5" w:rsidRPr="00E278B5" w:rsidRDefault="00E278B5" w:rsidP="00E278B5">
      <w:pPr>
        <w:pStyle w:val="ListParagraph"/>
        <w:numPr>
          <w:ilvl w:val="0"/>
          <w:numId w:val="12"/>
        </w:numPr>
        <w:tabs>
          <w:tab w:val="left" w:pos="720"/>
        </w:tabs>
        <w:suppressAutoHyphens/>
        <w:spacing w:before="120" w:after="120" w:line="240" w:lineRule="auto"/>
        <w:jc w:val="both"/>
        <w:outlineLvl w:val="1"/>
        <w:rPr>
          <w:rFonts w:ascii="Arial" w:hAnsi="Arial" w:cs="Arial"/>
        </w:rPr>
      </w:pPr>
      <w:r w:rsidRPr="00E278B5">
        <w:rPr>
          <w:rFonts w:ascii="Arial" w:hAnsi="Arial" w:cs="Arial"/>
        </w:rPr>
        <w:t>General Qualifications – 30</w:t>
      </w:r>
    </w:p>
    <w:p w14:paraId="297EA776" w14:textId="227AE2B2" w:rsidR="00AA6994" w:rsidRPr="00E278B5" w:rsidRDefault="00E278B5" w:rsidP="00E278B5">
      <w:pPr>
        <w:pStyle w:val="ListParagraph"/>
        <w:numPr>
          <w:ilvl w:val="0"/>
          <w:numId w:val="12"/>
        </w:numPr>
        <w:tabs>
          <w:tab w:val="left" w:pos="720"/>
        </w:tabs>
        <w:suppressAutoHyphens/>
        <w:spacing w:before="120" w:after="120" w:line="240" w:lineRule="auto"/>
        <w:jc w:val="both"/>
        <w:outlineLvl w:val="1"/>
        <w:rPr>
          <w:rFonts w:ascii="Arial" w:hAnsi="Arial" w:cs="Arial"/>
        </w:rPr>
      </w:pPr>
      <w:r w:rsidRPr="00E278B5">
        <w:rPr>
          <w:rFonts w:ascii="Arial" w:hAnsi="Arial" w:cs="Arial"/>
        </w:rPr>
        <w:t>Adequacy for the assignment – 70</w:t>
      </w:r>
    </w:p>
    <w:p w14:paraId="7D951AB5" w14:textId="32DECF8B" w:rsidR="000049A7" w:rsidRPr="00E278B5" w:rsidRDefault="00E278B5" w:rsidP="00E278B5">
      <w:pPr>
        <w:spacing w:before="120" w:after="120" w:line="240" w:lineRule="auto"/>
        <w:jc w:val="both"/>
        <w:rPr>
          <w:rFonts w:ascii="Arial" w:hAnsi="Arial" w:cs="Arial"/>
        </w:rPr>
      </w:pPr>
      <w:r w:rsidRPr="00E278B5">
        <w:rPr>
          <w:rFonts w:ascii="Arial" w:eastAsia="MS Mincho" w:hAnsi="Arial" w:cs="Arial"/>
          <w:bCs/>
        </w:rPr>
        <w:t>The intended commencement date is September 2022, but the actual commencement date will be defined with the signature of the Contract. The period of implementation of the contract will be 8 months starting from the commencement date.</w:t>
      </w:r>
      <w:r w:rsidR="000049A7" w:rsidRPr="00E278B5">
        <w:rPr>
          <w:rFonts w:ascii="Arial" w:hAnsi="Arial" w:cs="Arial"/>
        </w:rPr>
        <w:t xml:space="preserve">  </w:t>
      </w:r>
    </w:p>
    <w:p w14:paraId="5C2E9374" w14:textId="7FEBDACF" w:rsidR="000049A7" w:rsidRPr="00E278B5" w:rsidRDefault="00AA5B35" w:rsidP="00E278B5">
      <w:pPr>
        <w:spacing w:before="120" w:after="120" w:line="240" w:lineRule="auto"/>
        <w:jc w:val="both"/>
        <w:rPr>
          <w:rFonts w:ascii="Arial" w:hAnsi="Arial" w:cs="Arial"/>
        </w:rPr>
      </w:pPr>
      <w:r w:rsidRPr="00E278B5">
        <w:rPr>
          <w:rFonts w:ascii="Arial" w:hAnsi="Arial" w:cs="Arial"/>
        </w:rPr>
        <w:t xml:space="preserve">The detailed Terms of Reference for the above referenced consulting services is posted on the website of the Ministry of Construction, Transportation and Infrastructure (MCTI) </w:t>
      </w:r>
      <w:hyperlink r:id="rId5" w:history="1">
        <w:r w:rsidR="00B61BA2" w:rsidRPr="009D3306">
          <w:rPr>
            <w:rStyle w:val="Hyperlink"/>
            <w:rFonts w:ascii="Arial" w:hAnsi="Arial" w:cs="Arial"/>
          </w:rPr>
          <w:t>www.mgsi.gov.rs/en/dokuments/serbia-railway-sector-modernization-srsm-project</w:t>
        </w:r>
      </w:hyperlink>
    </w:p>
    <w:p w14:paraId="22B78D3E" w14:textId="77777777" w:rsidR="00E278B5" w:rsidRPr="00E278B5" w:rsidRDefault="00E278B5" w:rsidP="00E278B5">
      <w:pPr>
        <w:shd w:val="clear" w:color="auto" w:fill="FFFFFF"/>
        <w:spacing w:after="100" w:afterAutospacing="1" w:line="240" w:lineRule="auto"/>
        <w:jc w:val="both"/>
        <w:rPr>
          <w:rFonts w:ascii="Arial" w:hAnsi="Arial" w:cs="Arial"/>
        </w:rPr>
      </w:pPr>
      <w:r w:rsidRPr="00E278B5">
        <w:rPr>
          <w:rFonts w:ascii="Arial" w:hAnsi="Arial" w:cs="Arial"/>
        </w:rPr>
        <w:t>The Central Fiduciary Unit (CFU) of the Ministry of Finance now invites eligible Consultants to indicate their interest in providing the Services. Interested Consultants should provide information demonstrating that they have the required qualifications and relevant experience to perform the Services.</w:t>
      </w:r>
    </w:p>
    <w:p w14:paraId="01DBB32B" w14:textId="474E5249" w:rsidR="000049A7" w:rsidRPr="00E278B5" w:rsidRDefault="000049A7" w:rsidP="00E278B5">
      <w:pPr>
        <w:spacing w:before="120" w:after="120" w:line="240" w:lineRule="auto"/>
        <w:jc w:val="both"/>
        <w:rPr>
          <w:rFonts w:ascii="Arial" w:hAnsi="Arial" w:cs="Arial"/>
        </w:rPr>
      </w:pPr>
      <w:r w:rsidRPr="00E278B5">
        <w:rPr>
          <w:rFonts w:ascii="Arial" w:hAnsi="Arial" w:cs="Arial"/>
        </w:rPr>
        <w:lastRenderedPageBreak/>
        <w:t xml:space="preserve"> </w:t>
      </w:r>
    </w:p>
    <w:p w14:paraId="0B0AAB8D" w14:textId="1896CF40" w:rsidR="00E278B5" w:rsidRPr="00E278B5" w:rsidRDefault="00E278B5" w:rsidP="00E278B5">
      <w:pPr>
        <w:spacing w:before="120" w:after="120" w:line="240" w:lineRule="auto"/>
        <w:jc w:val="both"/>
        <w:rPr>
          <w:rFonts w:ascii="Arial" w:hAnsi="Arial" w:cs="Arial"/>
        </w:rPr>
      </w:pPr>
    </w:p>
    <w:p w14:paraId="640A7C8D" w14:textId="6303C8C7" w:rsidR="000049A7" w:rsidRPr="00E278B5" w:rsidRDefault="000049A7" w:rsidP="00E278B5">
      <w:pPr>
        <w:spacing w:before="120" w:after="120" w:line="240" w:lineRule="auto"/>
        <w:jc w:val="both"/>
        <w:rPr>
          <w:rFonts w:ascii="Arial" w:hAnsi="Arial" w:cs="Arial"/>
        </w:rPr>
      </w:pPr>
      <w:r w:rsidRPr="00E278B5">
        <w:rPr>
          <w:rFonts w:ascii="Arial" w:hAnsi="Arial" w:cs="Arial"/>
        </w:rPr>
        <w:t xml:space="preserve">The attention of interested Consultants is drawn to paragraph 3.16 and 3.17 of the </w:t>
      </w:r>
      <w:r w:rsidRPr="00E278B5">
        <w:rPr>
          <w:rFonts w:ascii="Arial" w:eastAsia="Times New Roman" w:hAnsi="Arial" w:cs="Arial"/>
          <w:b/>
          <w:i/>
        </w:rPr>
        <w:t xml:space="preserve">World Bank’s Procurement Regulations for IPF Borrowers – Procurement in Investment Project Financing Goods, World, Non-Consulting and Consulting Services, </w:t>
      </w:r>
      <w:r w:rsidRPr="00E278B5">
        <w:rPr>
          <w:rFonts w:ascii="Arial" w:eastAsia="Times New Roman" w:hAnsi="Arial" w:cs="Arial"/>
        </w:rPr>
        <w:t>July 2016, revised November 2017</w:t>
      </w:r>
      <w:r w:rsidR="004628A1" w:rsidRPr="00E278B5">
        <w:rPr>
          <w:rFonts w:ascii="Arial" w:eastAsia="Times New Roman" w:hAnsi="Arial" w:cs="Arial"/>
        </w:rPr>
        <w:t>,</w:t>
      </w:r>
      <w:r w:rsidR="004628A1" w:rsidRPr="00E278B5">
        <w:rPr>
          <w:rFonts w:ascii="Arial" w:hAnsi="Arial" w:cs="Arial"/>
        </w:rPr>
        <w:t xml:space="preserve"> </w:t>
      </w:r>
      <w:r w:rsidR="004628A1" w:rsidRPr="00E278B5">
        <w:rPr>
          <w:rFonts w:ascii="Arial" w:eastAsia="Times New Roman" w:hAnsi="Arial" w:cs="Arial"/>
        </w:rPr>
        <w:t>August 2018 and November 2020</w:t>
      </w:r>
      <w:r w:rsidRPr="00E278B5">
        <w:rPr>
          <w:rFonts w:ascii="Arial" w:hAnsi="Arial" w:cs="Arial"/>
        </w:rPr>
        <w:t xml:space="preserve"> (“the Regulations”) setting forth the World Bank’s policy on conflict of interest.   </w:t>
      </w:r>
    </w:p>
    <w:p w14:paraId="542DCBE8" w14:textId="233A6A9D" w:rsidR="000049A7" w:rsidRPr="00E278B5" w:rsidRDefault="000049A7" w:rsidP="00E278B5">
      <w:pPr>
        <w:spacing w:before="120" w:after="120" w:line="240" w:lineRule="auto"/>
        <w:jc w:val="both"/>
        <w:rPr>
          <w:rFonts w:ascii="Arial" w:hAnsi="Arial" w:cs="Arial"/>
        </w:rPr>
      </w:pPr>
      <w:r w:rsidRPr="00E278B5">
        <w:rPr>
          <w:rFonts w:ascii="Arial" w:hAnsi="Arial" w:cs="Arial"/>
        </w:rPr>
        <w:t xml:space="preserve">Interested consultants may obtain further information from the CFU at the address below from 09:00 to 15:00 hours. </w:t>
      </w:r>
    </w:p>
    <w:p w14:paraId="7BF4764B" w14:textId="605479EB" w:rsidR="000049A7" w:rsidRPr="00E278B5" w:rsidRDefault="000049A7" w:rsidP="00E278B5">
      <w:pPr>
        <w:spacing w:before="120" w:after="120" w:line="240" w:lineRule="auto"/>
        <w:jc w:val="both"/>
        <w:rPr>
          <w:rFonts w:ascii="Arial" w:hAnsi="Arial" w:cs="Arial"/>
        </w:rPr>
      </w:pPr>
      <w:r w:rsidRPr="00E278B5">
        <w:rPr>
          <w:rFonts w:ascii="Arial" w:hAnsi="Arial" w:cs="Arial"/>
        </w:rPr>
        <w:t xml:space="preserve">Expressions of interest </w:t>
      </w:r>
      <w:r w:rsidRPr="00E278B5">
        <w:rPr>
          <w:rFonts w:ascii="Arial" w:eastAsia="Times New Roman" w:hAnsi="Arial" w:cs="Arial"/>
          <w:b/>
        </w:rPr>
        <w:t>in English language</w:t>
      </w:r>
      <w:r w:rsidRPr="00E278B5">
        <w:rPr>
          <w:rFonts w:ascii="Arial" w:hAnsi="Arial" w:cs="Arial"/>
        </w:rPr>
        <w:t xml:space="preserve"> must be delivered to the e-mail address below by </w:t>
      </w:r>
      <w:r w:rsidR="00AA5B35" w:rsidRPr="00E278B5">
        <w:rPr>
          <w:rFonts w:ascii="Arial" w:eastAsia="Times New Roman" w:hAnsi="Arial" w:cs="Arial"/>
          <w:b/>
        </w:rPr>
        <w:t xml:space="preserve">July </w:t>
      </w:r>
      <w:r w:rsidR="00B61BA2">
        <w:rPr>
          <w:rFonts w:ascii="Arial" w:eastAsia="Times New Roman" w:hAnsi="Arial" w:cs="Arial"/>
          <w:b/>
        </w:rPr>
        <w:t>1</w:t>
      </w:r>
      <w:r w:rsidR="00BB07B8">
        <w:rPr>
          <w:rFonts w:ascii="Arial" w:eastAsia="Times New Roman" w:hAnsi="Arial" w:cs="Arial"/>
          <w:b/>
        </w:rPr>
        <w:t>5</w:t>
      </w:r>
      <w:r w:rsidRPr="00E278B5">
        <w:rPr>
          <w:rFonts w:ascii="Arial" w:eastAsia="Times New Roman" w:hAnsi="Arial" w:cs="Arial"/>
          <w:b/>
        </w:rPr>
        <w:t>, 202</w:t>
      </w:r>
      <w:r w:rsidR="004628A1" w:rsidRPr="00E278B5">
        <w:rPr>
          <w:rFonts w:ascii="Arial" w:eastAsia="Times New Roman" w:hAnsi="Arial" w:cs="Arial"/>
          <w:b/>
        </w:rPr>
        <w:t>2</w:t>
      </w:r>
      <w:r w:rsidRPr="00E278B5">
        <w:rPr>
          <w:rFonts w:ascii="Arial" w:eastAsia="Times New Roman" w:hAnsi="Arial" w:cs="Arial"/>
          <w:b/>
        </w:rPr>
        <w:t>, 12:00 Noon</w:t>
      </w:r>
      <w:r w:rsidRPr="00E278B5">
        <w:rPr>
          <w:rFonts w:ascii="Arial" w:hAnsi="Arial" w:cs="Arial"/>
        </w:rPr>
        <w:t xml:space="preserve">, local time. </w:t>
      </w:r>
    </w:p>
    <w:p w14:paraId="6C6B1FF1" w14:textId="4C3E6A92" w:rsidR="000049A7" w:rsidRPr="00E278B5" w:rsidRDefault="000049A7" w:rsidP="00E278B5">
      <w:pPr>
        <w:spacing w:before="120" w:after="120" w:line="240" w:lineRule="auto"/>
        <w:jc w:val="both"/>
        <w:rPr>
          <w:rFonts w:ascii="Arial" w:hAnsi="Arial" w:cs="Arial"/>
        </w:rPr>
      </w:pPr>
      <w:r w:rsidRPr="00E278B5">
        <w:rPr>
          <w:rFonts w:ascii="Arial" w:hAnsi="Arial" w:cs="Arial"/>
        </w:rPr>
        <w:t xml:space="preserve">When submitting Expressions of interest please indicate assignment and reference number for which you are applying. </w:t>
      </w:r>
    </w:p>
    <w:tbl>
      <w:tblPr>
        <w:tblStyle w:val="TableGrid"/>
        <w:tblW w:w="9002" w:type="dxa"/>
        <w:tblInd w:w="0" w:type="dxa"/>
        <w:tblCellMar>
          <w:top w:w="115" w:type="dxa"/>
          <w:left w:w="108" w:type="dxa"/>
          <w:bottom w:w="10" w:type="dxa"/>
          <w:right w:w="115" w:type="dxa"/>
        </w:tblCellMar>
        <w:tblLook w:val="04A0" w:firstRow="1" w:lastRow="0" w:firstColumn="1" w:lastColumn="0" w:noHBand="0" w:noVBand="1"/>
      </w:tblPr>
      <w:tblGrid>
        <w:gridCol w:w="1117"/>
        <w:gridCol w:w="3865"/>
        <w:gridCol w:w="4020"/>
      </w:tblGrid>
      <w:tr w:rsidR="000049A7" w:rsidRPr="00E278B5" w14:paraId="41BBA86E" w14:textId="77777777" w:rsidTr="00AA5B35">
        <w:trPr>
          <w:trHeight w:val="444"/>
        </w:trPr>
        <w:tc>
          <w:tcPr>
            <w:tcW w:w="1117" w:type="dxa"/>
            <w:tcBorders>
              <w:top w:val="single" w:sz="4" w:space="0" w:color="000000"/>
              <w:left w:val="single" w:sz="4" w:space="0" w:color="000000"/>
              <w:bottom w:val="single" w:sz="4" w:space="0" w:color="000000"/>
              <w:right w:val="single" w:sz="4" w:space="0" w:color="000000"/>
            </w:tcBorders>
          </w:tcPr>
          <w:p w14:paraId="1B81B28E" w14:textId="485DD684" w:rsidR="000049A7" w:rsidRPr="00E278B5" w:rsidRDefault="000049A7" w:rsidP="00AA5B35">
            <w:pPr>
              <w:spacing w:before="120" w:after="120" w:line="259" w:lineRule="auto"/>
              <w:jc w:val="center"/>
              <w:rPr>
                <w:rFonts w:ascii="Arial" w:hAnsi="Arial" w:cs="Arial"/>
              </w:rPr>
            </w:pPr>
            <w:r w:rsidRPr="00E278B5">
              <w:rPr>
                <w:rFonts w:ascii="Arial" w:eastAsia="Times New Roman" w:hAnsi="Arial" w:cs="Arial"/>
                <w:b/>
              </w:rPr>
              <w:t>Contact:</w:t>
            </w:r>
          </w:p>
        </w:tc>
        <w:tc>
          <w:tcPr>
            <w:tcW w:w="3865" w:type="dxa"/>
            <w:tcBorders>
              <w:top w:val="single" w:sz="4" w:space="0" w:color="000000"/>
              <w:left w:val="single" w:sz="4" w:space="0" w:color="000000"/>
              <w:bottom w:val="single" w:sz="4" w:space="0" w:color="000000"/>
              <w:right w:val="single" w:sz="4" w:space="0" w:color="000000"/>
            </w:tcBorders>
          </w:tcPr>
          <w:p w14:paraId="59ABB2C6" w14:textId="77777777" w:rsidR="000049A7" w:rsidRPr="00E278B5" w:rsidRDefault="000049A7" w:rsidP="00A02CE5">
            <w:pPr>
              <w:spacing w:before="120" w:after="120" w:line="259" w:lineRule="auto"/>
              <w:jc w:val="both"/>
              <w:rPr>
                <w:rFonts w:ascii="Arial" w:hAnsi="Arial" w:cs="Arial"/>
              </w:rPr>
            </w:pPr>
            <w:r w:rsidRPr="00E278B5">
              <w:rPr>
                <w:rFonts w:ascii="Arial" w:eastAsia="Times New Roman" w:hAnsi="Arial" w:cs="Arial"/>
                <w:b/>
              </w:rPr>
              <w:t xml:space="preserve">E–mail: </w:t>
            </w:r>
          </w:p>
        </w:tc>
        <w:tc>
          <w:tcPr>
            <w:tcW w:w="4020" w:type="dxa"/>
            <w:tcBorders>
              <w:top w:val="single" w:sz="4" w:space="0" w:color="000000"/>
              <w:left w:val="single" w:sz="4" w:space="0" w:color="000000"/>
              <w:bottom w:val="single" w:sz="4" w:space="0" w:color="000000"/>
              <w:right w:val="single" w:sz="4" w:space="0" w:color="000000"/>
            </w:tcBorders>
          </w:tcPr>
          <w:p w14:paraId="2AF630D2" w14:textId="77777777" w:rsidR="000049A7" w:rsidRPr="00E278B5" w:rsidRDefault="000049A7" w:rsidP="00A02CE5">
            <w:pPr>
              <w:spacing w:before="120" w:after="120" w:line="259" w:lineRule="auto"/>
              <w:jc w:val="both"/>
              <w:rPr>
                <w:rFonts w:ascii="Arial" w:hAnsi="Arial" w:cs="Arial"/>
              </w:rPr>
            </w:pPr>
            <w:r w:rsidRPr="00E278B5">
              <w:rPr>
                <w:rFonts w:ascii="Arial" w:eastAsia="Times New Roman" w:hAnsi="Arial" w:cs="Arial"/>
                <w:b/>
              </w:rPr>
              <w:t xml:space="preserve">Address: </w:t>
            </w:r>
          </w:p>
        </w:tc>
      </w:tr>
      <w:tr w:rsidR="000049A7" w:rsidRPr="00E278B5" w14:paraId="67555C69" w14:textId="77777777" w:rsidTr="00AA5B35">
        <w:trPr>
          <w:trHeight w:val="1258"/>
        </w:trPr>
        <w:tc>
          <w:tcPr>
            <w:tcW w:w="1117" w:type="dxa"/>
            <w:tcBorders>
              <w:top w:val="single" w:sz="4" w:space="0" w:color="000000"/>
              <w:left w:val="single" w:sz="4" w:space="0" w:color="000000"/>
              <w:bottom w:val="single" w:sz="4" w:space="0" w:color="000000"/>
              <w:right w:val="single" w:sz="4" w:space="0" w:color="000000"/>
            </w:tcBorders>
          </w:tcPr>
          <w:p w14:paraId="57394A05" w14:textId="77777777" w:rsidR="000049A7" w:rsidRPr="00E278B5" w:rsidRDefault="000049A7" w:rsidP="00E278B5">
            <w:pPr>
              <w:spacing w:before="120" w:after="120"/>
              <w:jc w:val="both"/>
              <w:rPr>
                <w:rFonts w:ascii="Arial" w:hAnsi="Arial" w:cs="Arial"/>
              </w:rPr>
            </w:pPr>
            <w:r w:rsidRPr="00E278B5">
              <w:rPr>
                <w:rFonts w:ascii="Arial" w:hAnsi="Arial" w:cs="Arial"/>
              </w:rPr>
              <w:t>To:</w:t>
            </w:r>
            <w:r w:rsidRPr="00E278B5">
              <w:rPr>
                <w:rFonts w:ascii="Arial" w:hAnsi="Arial" w:cs="Arial"/>
                <w:color w:val="555556"/>
              </w:rPr>
              <w:t xml:space="preserve"> </w:t>
            </w:r>
          </w:p>
        </w:tc>
        <w:tc>
          <w:tcPr>
            <w:tcW w:w="3865" w:type="dxa"/>
            <w:tcBorders>
              <w:top w:val="single" w:sz="4" w:space="0" w:color="000000"/>
              <w:left w:val="single" w:sz="4" w:space="0" w:color="000000"/>
              <w:bottom w:val="single" w:sz="4" w:space="0" w:color="000000"/>
              <w:right w:val="single" w:sz="4" w:space="0" w:color="000000"/>
            </w:tcBorders>
            <w:vAlign w:val="center"/>
          </w:tcPr>
          <w:p w14:paraId="4BD97549" w14:textId="77777777" w:rsidR="000049A7" w:rsidRPr="00E278B5" w:rsidRDefault="000049A7" w:rsidP="00E278B5">
            <w:pPr>
              <w:spacing w:before="120" w:after="120"/>
              <w:jc w:val="both"/>
              <w:rPr>
                <w:rFonts w:ascii="Arial" w:hAnsi="Arial" w:cs="Arial"/>
              </w:rPr>
            </w:pPr>
            <w:r w:rsidRPr="00E278B5">
              <w:rPr>
                <w:rFonts w:ascii="Arial" w:hAnsi="Arial" w:cs="Arial"/>
                <w:color w:val="0000FF"/>
                <w:u w:val="single" w:color="0000FF"/>
              </w:rPr>
              <w:t>zorica.petrovic@mfin.gov.rs</w:t>
            </w:r>
            <w:r w:rsidRPr="00E278B5">
              <w:rPr>
                <w:rFonts w:ascii="Arial" w:hAnsi="Arial" w:cs="Arial"/>
              </w:rPr>
              <w:t xml:space="preserve"> </w:t>
            </w:r>
          </w:p>
          <w:p w14:paraId="707558B1"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Ms. Zorica Petrović </w:t>
            </w:r>
          </w:p>
          <w:p w14:paraId="60D88312"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Procurement Specialist </w:t>
            </w:r>
          </w:p>
        </w:tc>
        <w:tc>
          <w:tcPr>
            <w:tcW w:w="4020" w:type="dxa"/>
            <w:vMerge w:val="restart"/>
            <w:tcBorders>
              <w:top w:val="single" w:sz="4" w:space="0" w:color="000000"/>
              <w:left w:val="single" w:sz="4" w:space="0" w:color="000000"/>
              <w:bottom w:val="single" w:sz="4" w:space="0" w:color="000000"/>
              <w:right w:val="single" w:sz="4" w:space="0" w:color="000000"/>
            </w:tcBorders>
          </w:tcPr>
          <w:p w14:paraId="6D2944A5"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Ministry of Finance </w:t>
            </w:r>
          </w:p>
          <w:p w14:paraId="633B587D"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Central Fiduciary Unit </w:t>
            </w:r>
          </w:p>
          <w:p w14:paraId="76BE98A3"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3-5 Sremska St </w:t>
            </w:r>
          </w:p>
          <w:p w14:paraId="08F28E45" w14:textId="77777777" w:rsidR="000049A7" w:rsidRPr="00E278B5" w:rsidRDefault="000049A7" w:rsidP="00E278B5">
            <w:pPr>
              <w:spacing w:before="120" w:after="120"/>
              <w:jc w:val="both"/>
              <w:rPr>
                <w:rFonts w:ascii="Arial" w:hAnsi="Arial" w:cs="Arial"/>
              </w:rPr>
            </w:pPr>
            <w:r w:rsidRPr="00E278B5">
              <w:rPr>
                <w:rFonts w:ascii="Arial" w:hAnsi="Arial" w:cs="Arial"/>
              </w:rPr>
              <w:t xml:space="preserve">11000 Belgrade, Serbia </w:t>
            </w:r>
          </w:p>
          <w:p w14:paraId="5C4893A7" w14:textId="343080AF" w:rsidR="000049A7" w:rsidRPr="00E278B5" w:rsidRDefault="000049A7" w:rsidP="00E278B5">
            <w:pPr>
              <w:spacing w:before="120" w:after="120"/>
              <w:jc w:val="both"/>
              <w:rPr>
                <w:rFonts w:ascii="Arial" w:hAnsi="Arial" w:cs="Arial"/>
              </w:rPr>
            </w:pPr>
            <w:r w:rsidRPr="00E278B5">
              <w:rPr>
                <w:rFonts w:ascii="Arial" w:hAnsi="Arial" w:cs="Arial"/>
              </w:rPr>
              <w:t xml:space="preserve">Tel/Fax: (+381 11) </w:t>
            </w:r>
            <w:r w:rsidR="00AA5B35" w:rsidRPr="00E278B5">
              <w:rPr>
                <w:rFonts w:ascii="Arial" w:hAnsi="Arial" w:cs="Arial"/>
              </w:rPr>
              <w:t>765 2587</w:t>
            </w:r>
            <w:r w:rsidRPr="00E278B5">
              <w:rPr>
                <w:rFonts w:ascii="Arial" w:hAnsi="Arial" w:cs="Arial"/>
              </w:rPr>
              <w:t xml:space="preserve">      </w:t>
            </w:r>
          </w:p>
        </w:tc>
      </w:tr>
      <w:tr w:rsidR="000049A7" w:rsidRPr="00E278B5" w14:paraId="6743B5C8" w14:textId="77777777" w:rsidTr="00AA5B35">
        <w:trPr>
          <w:trHeight w:val="730"/>
        </w:trPr>
        <w:tc>
          <w:tcPr>
            <w:tcW w:w="1117" w:type="dxa"/>
            <w:tcBorders>
              <w:top w:val="single" w:sz="4" w:space="0" w:color="000000"/>
              <w:left w:val="single" w:sz="4" w:space="0" w:color="000000"/>
              <w:bottom w:val="single" w:sz="4" w:space="0" w:color="000000"/>
              <w:right w:val="single" w:sz="4" w:space="0" w:color="000000"/>
            </w:tcBorders>
          </w:tcPr>
          <w:p w14:paraId="50C713D1" w14:textId="77777777" w:rsidR="000049A7" w:rsidRPr="00E278B5" w:rsidRDefault="000049A7" w:rsidP="00A02CE5">
            <w:pPr>
              <w:spacing w:before="120" w:after="120" w:line="259" w:lineRule="auto"/>
              <w:jc w:val="both"/>
              <w:rPr>
                <w:rFonts w:ascii="Arial" w:hAnsi="Arial" w:cs="Arial"/>
              </w:rPr>
            </w:pPr>
            <w:r w:rsidRPr="00E278B5">
              <w:rPr>
                <w:rFonts w:ascii="Arial" w:hAnsi="Arial" w:cs="Arial"/>
              </w:rPr>
              <w:t>Cc:</w:t>
            </w:r>
            <w:r w:rsidRPr="00E278B5">
              <w:rPr>
                <w:rFonts w:ascii="Arial" w:hAnsi="Arial" w:cs="Arial"/>
                <w:color w:val="555556"/>
              </w:rPr>
              <w:t xml:space="preserve"> </w:t>
            </w:r>
          </w:p>
        </w:tc>
        <w:tc>
          <w:tcPr>
            <w:tcW w:w="3865" w:type="dxa"/>
            <w:tcBorders>
              <w:top w:val="single" w:sz="4" w:space="0" w:color="000000"/>
              <w:left w:val="single" w:sz="4" w:space="0" w:color="000000"/>
              <w:bottom w:val="single" w:sz="4" w:space="0" w:color="000000"/>
              <w:right w:val="single" w:sz="4" w:space="0" w:color="000000"/>
            </w:tcBorders>
            <w:vAlign w:val="bottom"/>
          </w:tcPr>
          <w:p w14:paraId="00501372" w14:textId="77777777" w:rsidR="000049A7" w:rsidRPr="00E278B5" w:rsidRDefault="000049A7" w:rsidP="00A02CE5">
            <w:pPr>
              <w:spacing w:before="120" w:after="120" w:line="259" w:lineRule="auto"/>
              <w:jc w:val="both"/>
              <w:rPr>
                <w:rFonts w:ascii="Arial" w:hAnsi="Arial" w:cs="Arial"/>
              </w:rPr>
            </w:pPr>
            <w:r w:rsidRPr="00E278B5">
              <w:rPr>
                <w:rFonts w:ascii="Arial" w:hAnsi="Arial" w:cs="Arial"/>
                <w:color w:val="0000FF"/>
                <w:u w:val="single" w:color="0000FF"/>
              </w:rPr>
              <w:t>ljiljana.dzuver@mfin.gov.rs</w:t>
            </w:r>
            <w:r w:rsidRPr="00E278B5">
              <w:rPr>
                <w:rFonts w:ascii="Arial" w:hAnsi="Arial" w:cs="Arial"/>
              </w:rPr>
              <w:t xml:space="preserve"> </w:t>
            </w:r>
            <w:r w:rsidRPr="00E278B5">
              <w:rPr>
                <w:rFonts w:ascii="Arial" w:hAnsi="Arial" w:cs="Arial"/>
                <w:color w:val="0000FF"/>
                <w:u w:val="single" w:color="0000FF"/>
              </w:rPr>
              <w:t>larisa.puzovic@mgsi.gov.rs</w:t>
            </w:r>
            <w:r w:rsidRPr="00E278B5">
              <w:rPr>
                <w:rFonts w:ascii="Arial" w:hAnsi="Arial" w:cs="Arial"/>
              </w:rPr>
              <w:t xml:space="preserve"> </w:t>
            </w:r>
          </w:p>
        </w:tc>
        <w:tc>
          <w:tcPr>
            <w:tcW w:w="0" w:type="auto"/>
            <w:vMerge/>
            <w:tcBorders>
              <w:top w:val="nil"/>
              <w:left w:val="single" w:sz="4" w:space="0" w:color="000000"/>
              <w:bottom w:val="single" w:sz="4" w:space="0" w:color="000000"/>
              <w:right w:val="single" w:sz="4" w:space="0" w:color="000000"/>
            </w:tcBorders>
          </w:tcPr>
          <w:p w14:paraId="1B0699B7" w14:textId="77777777" w:rsidR="000049A7" w:rsidRPr="00E278B5" w:rsidRDefault="000049A7" w:rsidP="00A02CE5">
            <w:pPr>
              <w:spacing w:before="120" w:after="120" w:line="259" w:lineRule="auto"/>
              <w:jc w:val="both"/>
              <w:rPr>
                <w:rFonts w:ascii="Arial" w:hAnsi="Arial" w:cs="Arial"/>
              </w:rPr>
            </w:pPr>
          </w:p>
        </w:tc>
      </w:tr>
    </w:tbl>
    <w:p w14:paraId="6EEF7559" w14:textId="2DF411C1" w:rsidR="00A90524" w:rsidRPr="00E278B5" w:rsidRDefault="00A90524" w:rsidP="00C96EF6">
      <w:pPr>
        <w:spacing w:before="120" w:after="120"/>
        <w:ind w:right="5"/>
        <w:rPr>
          <w:rFonts w:ascii="Arial" w:hAnsi="Arial" w:cs="Arial"/>
        </w:rPr>
      </w:pPr>
    </w:p>
    <w:sectPr w:rsidR="00A90524" w:rsidRPr="00E278B5">
      <w:pgSz w:w="11906" w:h="16838"/>
      <w:pgMar w:top="1443" w:right="1697" w:bottom="1616"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75E68"/>
    <w:multiLevelType w:val="hybridMultilevel"/>
    <w:tmpl w:val="0B8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13D78"/>
    <w:multiLevelType w:val="hybridMultilevel"/>
    <w:tmpl w:val="E01A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20036"/>
    <w:multiLevelType w:val="hybridMultilevel"/>
    <w:tmpl w:val="63E81B9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C1843"/>
    <w:multiLevelType w:val="hybridMultilevel"/>
    <w:tmpl w:val="DBE6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2A7941"/>
    <w:multiLevelType w:val="hybridMultilevel"/>
    <w:tmpl w:val="EE3E67A6"/>
    <w:lvl w:ilvl="0" w:tplc="9718F0E2">
      <w:start w:val="1"/>
      <w:numFmt w:val="bullet"/>
      <w:lvlText w:val="•"/>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55085"/>
    <w:multiLevelType w:val="hybridMultilevel"/>
    <w:tmpl w:val="99AABDD4"/>
    <w:lvl w:ilvl="0" w:tplc="FC96979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9A01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4DC50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6EA6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42C9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C0DE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9248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81D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2A1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96804D7"/>
    <w:multiLevelType w:val="hybridMultilevel"/>
    <w:tmpl w:val="DCE25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EE1967"/>
    <w:multiLevelType w:val="hybridMultilevel"/>
    <w:tmpl w:val="5C7678DE"/>
    <w:lvl w:ilvl="0" w:tplc="506EDA6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6A70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E7C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4E477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046D8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9442F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BE82FB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2FEB35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9656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D54F1A"/>
    <w:multiLevelType w:val="hybridMultilevel"/>
    <w:tmpl w:val="C09840A6"/>
    <w:lvl w:ilvl="0" w:tplc="9718F0E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44843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5A05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8655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E2A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0CB1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C2F41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B8355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A9A09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167345A"/>
    <w:multiLevelType w:val="hybridMultilevel"/>
    <w:tmpl w:val="D1C880C8"/>
    <w:lvl w:ilvl="0" w:tplc="382C6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5863AE"/>
    <w:multiLevelType w:val="hybridMultilevel"/>
    <w:tmpl w:val="8C72839A"/>
    <w:lvl w:ilvl="0" w:tplc="9718F0E2">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34382C"/>
    <w:multiLevelType w:val="hybridMultilevel"/>
    <w:tmpl w:val="6A0A5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9962704">
    <w:abstractNumId w:val="8"/>
  </w:num>
  <w:num w:numId="2" w16cid:durableId="1309243602">
    <w:abstractNumId w:val="7"/>
  </w:num>
  <w:num w:numId="3" w16cid:durableId="355544423">
    <w:abstractNumId w:val="5"/>
  </w:num>
  <w:num w:numId="4" w16cid:durableId="84696103">
    <w:abstractNumId w:val="6"/>
  </w:num>
  <w:num w:numId="5" w16cid:durableId="1409496367">
    <w:abstractNumId w:val="1"/>
  </w:num>
  <w:num w:numId="6" w16cid:durableId="1549103582">
    <w:abstractNumId w:val="4"/>
  </w:num>
  <w:num w:numId="7" w16cid:durableId="1202550832">
    <w:abstractNumId w:val="10"/>
  </w:num>
  <w:num w:numId="8" w16cid:durableId="754594310">
    <w:abstractNumId w:val="11"/>
  </w:num>
  <w:num w:numId="9" w16cid:durableId="234970766">
    <w:abstractNumId w:val="2"/>
  </w:num>
  <w:num w:numId="10" w16cid:durableId="1861819889">
    <w:abstractNumId w:val="0"/>
  </w:num>
  <w:num w:numId="11" w16cid:durableId="1695884214">
    <w:abstractNumId w:val="3"/>
  </w:num>
  <w:num w:numId="12" w16cid:durableId="7096501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A7"/>
    <w:rsid w:val="000049A7"/>
    <w:rsid w:val="0011050A"/>
    <w:rsid w:val="001814CF"/>
    <w:rsid w:val="00264DEA"/>
    <w:rsid w:val="0029173C"/>
    <w:rsid w:val="00316FEF"/>
    <w:rsid w:val="004628A1"/>
    <w:rsid w:val="0050150B"/>
    <w:rsid w:val="005B1EDB"/>
    <w:rsid w:val="00626EC6"/>
    <w:rsid w:val="006935B5"/>
    <w:rsid w:val="00711437"/>
    <w:rsid w:val="00784A5F"/>
    <w:rsid w:val="007A5B61"/>
    <w:rsid w:val="007F51B1"/>
    <w:rsid w:val="008D2420"/>
    <w:rsid w:val="00903B49"/>
    <w:rsid w:val="009D4637"/>
    <w:rsid w:val="00A02CE5"/>
    <w:rsid w:val="00A11D84"/>
    <w:rsid w:val="00A72A33"/>
    <w:rsid w:val="00A90524"/>
    <w:rsid w:val="00AA5B35"/>
    <w:rsid w:val="00AA6994"/>
    <w:rsid w:val="00AB558E"/>
    <w:rsid w:val="00B61BA2"/>
    <w:rsid w:val="00BB07B8"/>
    <w:rsid w:val="00BE0041"/>
    <w:rsid w:val="00C26B52"/>
    <w:rsid w:val="00C457B4"/>
    <w:rsid w:val="00C57A61"/>
    <w:rsid w:val="00C96EF6"/>
    <w:rsid w:val="00D03590"/>
    <w:rsid w:val="00D32184"/>
    <w:rsid w:val="00D449FF"/>
    <w:rsid w:val="00D57871"/>
    <w:rsid w:val="00DB125B"/>
    <w:rsid w:val="00DD2774"/>
    <w:rsid w:val="00E278B5"/>
    <w:rsid w:val="00E66896"/>
    <w:rsid w:val="00E82007"/>
    <w:rsid w:val="00F62EBA"/>
    <w:rsid w:val="00FB1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E03B"/>
  <w15:chartTrackingRefBased/>
  <w15:docId w15:val="{9B83C383-A9DA-4964-8AA7-7D8A5102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next w:val="Normal"/>
    <w:link w:val="Heading1Char"/>
    <w:uiPriority w:val="9"/>
    <w:unhideWhenUsed/>
    <w:qFormat/>
    <w:rsid w:val="000049A7"/>
    <w:pPr>
      <w:keepNext/>
      <w:keepLines/>
      <w:spacing w:after="48"/>
      <w:ind w:left="14" w:hanging="10"/>
      <w:outlineLvl w:val="0"/>
    </w:pPr>
    <w:rPr>
      <w:rFonts w:ascii="Times New Roman" w:eastAsia="Times New Roman" w:hAnsi="Times New Roman" w:cs="Times New Roman"/>
      <w:b/>
      <w:color w:val="000000"/>
      <w:sz w:val="28"/>
      <w:lang w:eastAsia="en-GB"/>
    </w:rPr>
  </w:style>
  <w:style w:type="paragraph" w:styleId="Heading2">
    <w:name w:val="heading 2"/>
    <w:basedOn w:val="Normal"/>
    <w:next w:val="Normal"/>
    <w:link w:val="Heading2Char"/>
    <w:uiPriority w:val="9"/>
    <w:semiHidden/>
    <w:unhideWhenUsed/>
    <w:qFormat/>
    <w:rsid w:val="00AA69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A69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49A7"/>
    <w:rPr>
      <w:rFonts w:ascii="Times New Roman" w:eastAsia="Times New Roman" w:hAnsi="Times New Roman" w:cs="Times New Roman"/>
      <w:b/>
      <w:color w:val="000000"/>
      <w:sz w:val="28"/>
      <w:lang w:eastAsia="en-GB"/>
    </w:rPr>
  </w:style>
  <w:style w:type="table" w:customStyle="1" w:styleId="TableGrid">
    <w:name w:val="TableGrid"/>
    <w:rsid w:val="000049A7"/>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aliases w:val="Citation List,본문(내용),List Paragraph (numbered (a)),Colorful List - Accent 11,Numbered List Paragraph,References,Numbered Paragraph,Main numbered paragraph,List_Paragraph,Multilevel para_II,List Paragraph1,Akapit z listą BS,Bullet1,Bullets"/>
    <w:basedOn w:val="Normal"/>
    <w:link w:val="ListParagraphChar"/>
    <w:uiPriority w:val="34"/>
    <w:qFormat/>
    <w:rsid w:val="007A5B61"/>
    <w:pPr>
      <w:ind w:left="720"/>
      <w:contextualSpacing/>
    </w:pPr>
  </w:style>
  <w:style w:type="paragraph" w:styleId="Revision">
    <w:name w:val="Revision"/>
    <w:hidden/>
    <w:uiPriority w:val="99"/>
    <w:semiHidden/>
    <w:rsid w:val="00DD2774"/>
    <w:pPr>
      <w:spacing w:after="0" w:line="240" w:lineRule="auto"/>
    </w:pPr>
  </w:style>
  <w:style w:type="character" w:styleId="Hyperlink">
    <w:name w:val="Hyperlink"/>
    <w:basedOn w:val="DefaultParagraphFont"/>
    <w:uiPriority w:val="99"/>
    <w:unhideWhenUsed/>
    <w:rsid w:val="00AA5B35"/>
    <w:rPr>
      <w:color w:val="0563C1" w:themeColor="hyperlink"/>
      <w:u w:val="single"/>
    </w:rPr>
  </w:style>
  <w:style w:type="character" w:styleId="FollowedHyperlink">
    <w:name w:val="FollowedHyperlink"/>
    <w:basedOn w:val="DefaultParagraphFont"/>
    <w:uiPriority w:val="99"/>
    <w:semiHidden/>
    <w:unhideWhenUsed/>
    <w:rsid w:val="00AA5B35"/>
    <w:rPr>
      <w:color w:val="954F72" w:themeColor="followedHyperlink"/>
      <w:u w:val="single"/>
    </w:rPr>
  </w:style>
  <w:style w:type="character" w:customStyle="1" w:styleId="ListParagraphChar">
    <w:name w:val="List Paragraph Char"/>
    <w:aliases w:val="Citation List Char,본문(내용) Char,List Paragraph (numbered (a)) Char,Colorful List - Accent 11 Char,Numbered List Paragraph Char,References Char,Numbered Paragraph Char,Main numbered paragraph Char,List_Paragraph Char,Bullet1 Char"/>
    <w:basedOn w:val="DefaultParagraphFont"/>
    <w:link w:val="ListParagraph"/>
    <w:uiPriority w:val="34"/>
    <w:qFormat/>
    <w:rsid w:val="00AA6994"/>
  </w:style>
  <w:style w:type="paragraph" w:customStyle="1" w:styleId="Body">
    <w:name w:val="Body"/>
    <w:rsid w:val="00AA699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eading3Char">
    <w:name w:val="Heading 3 Char"/>
    <w:basedOn w:val="DefaultParagraphFont"/>
    <w:link w:val="Heading3"/>
    <w:uiPriority w:val="9"/>
    <w:rsid w:val="00AA6994"/>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A6994"/>
    <w:rPr>
      <w:rFonts w:asciiTheme="majorHAnsi" w:eastAsiaTheme="majorEastAsia" w:hAnsiTheme="majorHAnsi" w:cstheme="majorBidi"/>
      <w:color w:val="2F5496" w:themeColor="accent1" w:themeShade="BF"/>
      <w:sz w:val="26"/>
      <w:szCs w:val="26"/>
      <w:lang w:val="en-US"/>
    </w:rPr>
  </w:style>
  <w:style w:type="character" w:styleId="UnresolvedMention">
    <w:name w:val="Unresolved Mention"/>
    <w:basedOn w:val="DefaultParagraphFont"/>
    <w:uiPriority w:val="99"/>
    <w:semiHidden/>
    <w:unhideWhenUsed/>
    <w:rsid w:val="00B6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gsi.gov.rs/en/dokuments/serbia-railway-sector-modernization-srsm-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979</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Larisa Puzovic</cp:lastModifiedBy>
  <cp:revision>2</cp:revision>
  <dcterms:created xsi:type="dcterms:W3CDTF">2022-06-24T07:29:00Z</dcterms:created>
  <dcterms:modified xsi:type="dcterms:W3CDTF">2022-06-24T07:29:00Z</dcterms:modified>
</cp:coreProperties>
</file>